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37" w:type="pct"/>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10669"/>
      </w:tblGrid>
      <w:tr w:rsidR="00604635" w:rsidRPr="002F3F58" w14:paraId="18346B73" w14:textId="77777777" w:rsidTr="00BD4842">
        <w:tc>
          <w:tcPr>
            <w:tcW w:w="9990" w:type="dxa"/>
          </w:tcPr>
          <w:tbl>
            <w:tblPr>
              <w:tblStyle w:val="TableGrid"/>
              <w:tblW w:w="106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Structure layout table"/>
            </w:tblPr>
            <w:tblGrid>
              <w:gridCol w:w="10640"/>
              <w:gridCol w:w="29"/>
            </w:tblGrid>
            <w:tr w:rsidR="00226F5C" w:rsidRPr="002F3F58" w14:paraId="090BB9F4" w14:textId="77777777" w:rsidTr="00A758F2">
              <w:trPr>
                <w:trHeight w:val="1890"/>
              </w:trPr>
              <w:tc>
                <w:tcPr>
                  <w:tcW w:w="10640" w:type="dxa"/>
                  <w:shd w:val="clear" w:color="auto" w:fill="FA8242" w:themeFill="accent6"/>
                  <w:vAlign w:val="center"/>
                </w:tcPr>
                <w:p w14:paraId="233B56DB" w14:textId="77777777" w:rsidR="00AB055A" w:rsidRPr="00F56ADF" w:rsidRDefault="00AB055A" w:rsidP="00AB055A">
                  <w:pPr>
                    <w:pStyle w:val="Title"/>
                    <w:spacing w:after="240"/>
                    <w:ind w:right="90"/>
                    <w:rPr>
                      <w:b/>
                      <w:caps w:val="0"/>
                      <w:smallCaps/>
                      <w:color w:val="auto"/>
                      <w:sz w:val="46"/>
                      <w:szCs w:val="46"/>
                    </w:rPr>
                  </w:pPr>
                  <w:r w:rsidRPr="00F56ADF">
                    <w:rPr>
                      <w:b/>
                      <w:caps w:val="0"/>
                      <w:smallCaps/>
                      <w:color w:val="auto"/>
                      <w:sz w:val="46"/>
                      <w:szCs w:val="46"/>
                    </w:rPr>
                    <w:t>National Performance Management Measures</w:t>
                  </w:r>
                </w:p>
                <w:p w14:paraId="54E0FBDD" w14:textId="448BD059" w:rsidR="00F952D2" w:rsidRPr="002F3F58" w:rsidRDefault="00EB00D4" w:rsidP="002F3F58">
                  <w:pPr>
                    <w:pStyle w:val="Title"/>
                    <w:ind w:right="90"/>
                    <w:rPr>
                      <w:b/>
                      <w:color w:val="000000" w:themeColor="text1"/>
                      <w:sz w:val="52"/>
                      <w:szCs w:val="52"/>
                      <w:lang w:val="fr-CA"/>
                    </w:rPr>
                  </w:pPr>
                  <w:r w:rsidRPr="002F3F58">
                    <w:rPr>
                      <w:b/>
                      <w:color w:val="000000" w:themeColor="text1"/>
                      <w:sz w:val="52"/>
                      <w:szCs w:val="52"/>
                      <w:lang w:val="fr-CA"/>
                    </w:rPr>
                    <w:t xml:space="preserve">Transportation Asset Management </w:t>
                  </w:r>
                </w:p>
                <w:p w14:paraId="562B251A" w14:textId="367FE248" w:rsidR="00AB055A" w:rsidRPr="002F3F58" w:rsidRDefault="00F952D2" w:rsidP="002F3F58">
                  <w:pPr>
                    <w:pStyle w:val="Heading1"/>
                    <w:spacing w:before="0" w:after="240"/>
                  </w:pPr>
                  <w:r w:rsidRPr="002F3F58">
                    <w:t xml:space="preserve">Engagement </w:t>
                  </w:r>
                  <w:r w:rsidR="00EB00D4" w:rsidRPr="002F3F58">
                    <w:t>Plan</w:t>
                  </w:r>
                </w:p>
              </w:tc>
              <w:tc>
                <w:tcPr>
                  <w:tcW w:w="29" w:type="dxa"/>
                  <w:vAlign w:val="center"/>
                </w:tcPr>
                <w:p w14:paraId="503B2BCA" w14:textId="77777777" w:rsidR="00226F5C" w:rsidRPr="002F3F58" w:rsidRDefault="00226F5C">
                  <w:pPr>
                    <w:spacing w:after="240" w:line="259" w:lineRule="auto"/>
                    <w:rPr>
                      <w:lang w:val="fr-CA"/>
                    </w:rPr>
                  </w:pPr>
                </w:p>
              </w:tc>
            </w:tr>
            <w:tr w:rsidR="00226F5C" w:rsidRPr="002F3F58" w14:paraId="61604816" w14:textId="77777777" w:rsidTr="00C252AB">
              <w:trPr>
                <w:trHeight w:val="2322"/>
              </w:trPr>
              <w:tc>
                <w:tcPr>
                  <w:tcW w:w="10640" w:type="dxa"/>
                </w:tcPr>
                <w:p w14:paraId="21E989C1" w14:textId="18069AEA" w:rsidR="00EB00D4" w:rsidRPr="002F3F58" w:rsidRDefault="00EB00D4" w:rsidP="00A758F2">
                  <w:pPr>
                    <w:rPr>
                      <w:lang w:val="fr-CA"/>
                    </w:rPr>
                  </w:pPr>
                </w:p>
                <w:p w14:paraId="175668DD" w14:textId="77777777" w:rsidR="002A1462" w:rsidRPr="002F3F58" w:rsidRDefault="006D53E7" w:rsidP="002F3F58">
                  <w:pPr>
                    <w:pStyle w:val="Heading2"/>
                  </w:pPr>
                  <w:r w:rsidRPr="002F3F58">
                    <w:t>Background</w:t>
                  </w:r>
                  <w:r w:rsidR="004172FE" w:rsidRPr="002F3F58">
                    <w:t>:</w:t>
                  </w:r>
                </w:p>
                <w:p w14:paraId="69019F27" w14:textId="271AFB48" w:rsidR="00627D3F" w:rsidRPr="009B2381" w:rsidRDefault="0015108D" w:rsidP="00A758F2">
                  <w:pPr>
                    <w:pStyle w:val="Default"/>
                  </w:pPr>
                  <w:r w:rsidRPr="009B2381">
                    <w:rPr>
                      <w:rFonts w:asciiTheme="minorHAnsi" w:hAnsiTheme="minorHAnsi" w:cstheme="minorBidi"/>
                      <w:color w:val="auto"/>
                    </w:rPr>
                    <w:t>The development of a formal</w:t>
                  </w:r>
                  <w:r w:rsidR="00130BF9">
                    <w:rPr>
                      <w:rFonts w:asciiTheme="minorHAnsi" w:hAnsiTheme="minorHAnsi" w:cstheme="minorBidi"/>
                      <w:color w:val="auto"/>
                    </w:rPr>
                    <w:t xml:space="preserve"> risk-based </w:t>
                  </w:r>
                  <w:r w:rsidRPr="009B2381">
                    <w:rPr>
                      <w:rFonts w:asciiTheme="minorHAnsi" w:hAnsiTheme="minorHAnsi" w:cstheme="minorBidi"/>
                      <w:color w:val="auto"/>
                    </w:rPr>
                    <w:t xml:space="preserve">transportation asset management plan (TAMP) has been mandated </w:t>
                  </w:r>
                  <w:r w:rsidR="00F67400">
                    <w:rPr>
                      <w:rFonts w:asciiTheme="minorHAnsi" w:hAnsiTheme="minorHAnsi" w:cstheme="minorBidi"/>
                      <w:color w:val="auto"/>
                    </w:rPr>
                    <w:t xml:space="preserve">in both state and federal laws.  </w:t>
                  </w:r>
                  <w:r w:rsidR="00846C30" w:rsidRPr="009B2381">
                    <w:rPr>
                      <w:rFonts w:asciiTheme="minorHAnsi" w:hAnsiTheme="minorHAnsi" w:cstheme="minorBidi"/>
                      <w:color w:val="auto"/>
                    </w:rPr>
                    <w:t xml:space="preserve">As identified by the American Association of State Highway and Transportation Officials (AASHTO), the definition of </w:t>
                  </w:r>
                  <w:r w:rsidR="00A720CB" w:rsidRPr="009B2381">
                    <w:rPr>
                      <w:rFonts w:asciiTheme="minorHAnsi" w:hAnsiTheme="minorHAnsi" w:cstheme="minorBidi"/>
                      <w:color w:val="auto"/>
                    </w:rPr>
                    <w:t xml:space="preserve">Transportation Asset Management </w:t>
                  </w:r>
                  <w:r w:rsidR="00846C30" w:rsidRPr="009B2381">
                    <w:rPr>
                      <w:rFonts w:asciiTheme="minorHAnsi" w:hAnsiTheme="minorHAnsi" w:cstheme="minorBidi"/>
                      <w:color w:val="auto"/>
                    </w:rPr>
                    <w:t>is</w:t>
                  </w:r>
                  <w:r w:rsidR="0082610F">
                    <w:rPr>
                      <w:rFonts w:asciiTheme="minorHAnsi" w:hAnsiTheme="minorHAnsi" w:cstheme="minorBidi"/>
                      <w:color w:val="auto"/>
                    </w:rPr>
                    <w:t>,</w:t>
                  </w:r>
                  <w:r w:rsidR="00846C30" w:rsidRPr="009B2381">
                    <w:rPr>
                      <w:rFonts w:asciiTheme="minorHAnsi" w:hAnsiTheme="minorHAnsi" w:cstheme="minorBidi"/>
                      <w:color w:val="auto"/>
                    </w:rPr>
                    <w:t xml:space="preserve"> </w:t>
                  </w:r>
                  <w:r w:rsidR="0082610F">
                    <w:rPr>
                      <w:rFonts w:asciiTheme="minorHAnsi" w:hAnsiTheme="minorHAnsi" w:cstheme="minorBidi"/>
                      <w:color w:val="auto"/>
                    </w:rPr>
                    <w:t>“</w:t>
                  </w:r>
                  <w:r w:rsidR="00846C30" w:rsidRPr="009B2381">
                    <w:rPr>
                      <w:rFonts w:asciiTheme="minorHAnsi" w:hAnsiTheme="minorHAnsi" w:cstheme="minorBidi"/>
                      <w:color w:val="auto"/>
                    </w:rPr>
                    <w:t xml:space="preserve">a strategic and systematic process of operating, maintaining, upgrading and expanding physical assets effectively throughout their lifecycle. </w:t>
                  </w:r>
                  <w:r w:rsidR="00F67400">
                    <w:rPr>
                      <w:rFonts w:asciiTheme="minorHAnsi" w:hAnsiTheme="minorHAnsi" w:cstheme="minorBidi"/>
                      <w:color w:val="auto"/>
                    </w:rPr>
                    <w:t xml:space="preserve"> </w:t>
                  </w:r>
                  <w:r w:rsidR="00846C30" w:rsidRPr="009B2381">
                    <w:rPr>
                      <w:rFonts w:asciiTheme="minorHAnsi" w:hAnsiTheme="minorHAnsi" w:cstheme="minorBidi"/>
                      <w:color w:val="auto"/>
                    </w:rPr>
                    <w:t>It focuses on business and engineering practices for resource allocation and utilization, with the objective of better decision making based upon quality information and well-defined objectives."</w:t>
                  </w:r>
                </w:p>
                <w:p w14:paraId="7E439632" w14:textId="77777777" w:rsidR="00A720CB" w:rsidRPr="009B2381" w:rsidRDefault="00A720CB" w:rsidP="00BB7690"/>
                <w:p w14:paraId="01E6061C" w14:textId="0F97CDED" w:rsidR="00846C30" w:rsidRPr="009B2381" w:rsidRDefault="0015108D" w:rsidP="00BB7690">
                  <w:r w:rsidRPr="009B2381">
                    <w:t>Under federal regulation,</w:t>
                  </w:r>
                  <w:r w:rsidR="00846C30" w:rsidRPr="009B2381">
                    <w:t xml:space="preserve"> </w:t>
                  </w:r>
                  <w:r w:rsidR="006A6D62">
                    <w:t xml:space="preserve">the </w:t>
                  </w:r>
                  <w:r w:rsidR="00846C30" w:rsidRPr="009B2381">
                    <w:rPr>
                      <w:bCs/>
                      <w:lang w:val="en"/>
                    </w:rPr>
                    <w:t>Moving Ahead for Progress in the 21st Century Act</w:t>
                  </w:r>
                  <w:r w:rsidR="00DD2A6F" w:rsidRPr="009B2381">
                    <w:t xml:space="preserve"> (MAP-21) and </w:t>
                  </w:r>
                  <w:r w:rsidR="006A6D62">
                    <w:t xml:space="preserve">the </w:t>
                  </w:r>
                  <w:r w:rsidR="00DD2A6F" w:rsidRPr="009B2381">
                    <w:t>Fix America’s Surface Transportation (FAST) Acts</w:t>
                  </w:r>
                  <w:r w:rsidR="00A93821" w:rsidRPr="009B2381">
                    <w:t>, States are required</w:t>
                  </w:r>
                  <w:r w:rsidRPr="009B2381">
                    <w:t xml:space="preserve"> </w:t>
                  </w:r>
                  <w:r w:rsidR="00DD2A6F" w:rsidRPr="009B2381">
                    <w:t xml:space="preserve">to </w:t>
                  </w:r>
                  <w:r w:rsidR="00846C30" w:rsidRPr="009B2381">
                    <w:t xml:space="preserve">prepare and implement a TAMP that includes the </w:t>
                  </w:r>
                  <w:r w:rsidR="00DD2A6F" w:rsidRPr="009B2381">
                    <w:t>following components</w:t>
                  </w:r>
                  <w:r w:rsidR="00846C30" w:rsidRPr="009B2381">
                    <w:t>:</w:t>
                  </w:r>
                </w:p>
                <w:p w14:paraId="70852315" w14:textId="77777777" w:rsidR="00DD2A6F" w:rsidRPr="009B2381" w:rsidRDefault="00846C30" w:rsidP="00BB7690">
                  <w:r w:rsidRPr="009B2381">
                    <w:t xml:space="preserve"> </w:t>
                  </w:r>
                </w:p>
                <w:p w14:paraId="3E9FBE57" w14:textId="738E01EE" w:rsidR="00DD2A6F" w:rsidRPr="009B2381" w:rsidRDefault="002A1234" w:rsidP="00BB7690">
                  <w:pPr>
                    <w:numPr>
                      <w:ilvl w:val="1"/>
                      <w:numId w:val="10"/>
                    </w:numPr>
                    <w:ind w:left="810" w:hanging="540"/>
                  </w:pPr>
                  <w:r>
                    <w:t>S</w:t>
                  </w:r>
                  <w:r w:rsidR="00DD2A6F" w:rsidRPr="009B2381">
                    <w:t xml:space="preserve">ummary listing pavement and bridge assets </w:t>
                  </w:r>
                </w:p>
                <w:p w14:paraId="1155D4C4" w14:textId="29ECF2D6" w:rsidR="00DD2A6F" w:rsidRPr="009B2381" w:rsidRDefault="002A1234" w:rsidP="00BB7690">
                  <w:pPr>
                    <w:numPr>
                      <w:ilvl w:val="1"/>
                      <w:numId w:val="10"/>
                    </w:numPr>
                    <w:ind w:left="810" w:hanging="540"/>
                  </w:pPr>
                  <w:r>
                    <w:t>D</w:t>
                  </w:r>
                  <w:r w:rsidR="00DD2A6F" w:rsidRPr="009B2381">
                    <w:t>escription of the condition of those assets</w:t>
                  </w:r>
                </w:p>
                <w:p w14:paraId="24D02FC8" w14:textId="77777777" w:rsidR="00DD2A6F" w:rsidRPr="009B2381" w:rsidRDefault="00DD2A6F" w:rsidP="00BB7690">
                  <w:pPr>
                    <w:numPr>
                      <w:ilvl w:val="1"/>
                      <w:numId w:val="10"/>
                    </w:numPr>
                    <w:ind w:left="810" w:hanging="540"/>
                  </w:pPr>
                  <w:r w:rsidRPr="009B2381">
                    <w:t>Asset management objectives and measures</w:t>
                  </w:r>
                </w:p>
                <w:p w14:paraId="61C5D78F" w14:textId="77777777" w:rsidR="00DD2A6F" w:rsidRPr="009B2381" w:rsidRDefault="00DD2A6F" w:rsidP="00BB7690">
                  <w:pPr>
                    <w:numPr>
                      <w:ilvl w:val="1"/>
                      <w:numId w:val="10"/>
                    </w:numPr>
                    <w:ind w:left="810" w:hanging="540"/>
                  </w:pPr>
                  <w:r w:rsidRPr="009B2381">
                    <w:t>Performance gap identification</w:t>
                  </w:r>
                </w:p>
                <w:p w14:paraId="7DEB62DC" w14:textId="77777777" w:rsidR="00DD2A6F" w:rsidRPr="009B2381" w:rsidRDefault="00DD2A6F" w:rsidP="00BB7690">
                  <w:pPr>
                    <w:numPr>
                      <w:ilvl w:val="1"/>
                      <w:numId w:val="10"/>
                    </w:numPr>
                    <w:ind w:left="810" w:hanging="540"/>
                  </w:pPr>
                  <w:r w:rsidRPr="009B2381">
                    <w:t>Lifecycle planning and risk management analysis</w:t>
                  </w:r>
                </w:p>
                <w:p w14:paraId="4A3C90ED" w14:textId="022CC600" w:rsidR="00DD2A6F" w:rsidRPr="009B2381" w:rsidRDefault="002A1234" w:rsidP="00BB7690">
                  <w:pPr>
                    <w:numPr>
                      <w:ilvl w:val="1"/>
                      <w:numId w:val="10"/>
                    </w:numPr>
                    <w:ind w:left="810" w:hanging="540"/>
                  </w:pPr>
                  <w:r>
                    <w:t>F</w:t>
                  </w:r>
                  <w:r w:rsidR="00DD2A6F" w:rsidRPr="009B2381">
                    <w:t>inancial plan</w:t>
                  </w:r>
                </w:p>
                <w:p w14:paraId="1090A972" w14:textId="0AB4A1B4" w:rsidR="00DD2A6F" w:rsidRPr="009B2381" w:rsidRDefault="002A1234" w:rsidP="00BB7690">
                  <w:pPr>
                    <w:numPr>
                      <w:ilvl w:val="1"/>
                      <w:numId w:val="10"/>
                    </w:numPr>
                    <w:ind w:left="810" w:hanging="540"/>
                  </w:pPr>
                  <w:r>
                    <w:t>Investment strategies</w:t>
                  </w:r>
                </w:p>
                <w:p w14:paraId="18C1299F" w14:textId="77777777" w:rsidR="00A758F2" w:rsidRDefault="00A758F2" w:rsidP="00A758F2">
                  <w:pPr>
                    <w:pStyle w:val="Heading3"/>
                    <w:spacing w:before="0"/>
                    <w:ind w:right="90"/>
                    <w:outlineLvl w:val="2"/>
                    <w:rPr>
                      <w:b/>
                      <w:color w:val="auto"/>
                      <w:sz w:val="24"/>
                      <w:u w:val="single"/>
                    </w:rPr>
                  </w:pPr>
                </w:p>
                <w:p w14:paraId="5F007DF5" w14:textId="29D88BE9" w:rsidR="00003BB2" w:rsidRPr="00104CAD" w:rsidRDefault="00E228FA" w:rsidP="00003BB2">
                  <w:proofErr w:type="gramStart"/>
                  <w:r w:rsidRPr="00104CAD">
                    <w:t>With regard to</w:t>
                  </w:r>
                  <w:proofErr w:type="gramEnd"/>
                  <w:r w:rsidRPr="00104CAD">
                    <w:t xml:space="preserve"> National Highway System (NHS) assets that are not owned by the State Department of Transportation (DOT), federal regulations require that the State DOT work collaboratively and cooperatively with other NHS owner(s) to obtain the data needed for the plan.</w:t>
                  </w:r>
                  <w:r w:rsidR="00E609F8" w:rsidRPr="00104CAD">
                    <w:t xml:space="preserve">  </w:t>
                  </w:r>
                </w:p>
                <w:p w14:paraId="30ED0A7A" w14:textId="77777777" w:rsidR="00003BB2" w:rsidRPr="00003BB2" w:rsidRDefault="00003BB2" w:rsidP="00003BB2"/>
                <w:p w14:paraId="45667CDF" w14:textId="79A3A13A" w:rsidR="004172FE" w:rsidRPr="009B2381" w:rsidRDefault="008E493D" w:rsidP="002F3F58">
                  <w:pPr>
                    <w:pStyle w:val="Heading2"/>
                  </w:pPr>
                  <w:r>
                    <w:t>Important Dates/</w:t>
                  </w:r>
                  <w:r w:rsidR="004172FE" w:rsidRPr="009B2381">
                    <w:t>Deadlines:</w:t>
                  </w:r>
                </w:p>
                <w:p w14:paraId="07D15520" w14:textId="5C37D2A2" w:rsidR="00BB7690" w:rsidRPr="009B2381" w:rsidRDefault="002A1234" w:rsidP="00A758F2">
                  <w:pPr>
                    <w:rPr>
                      <w:color w:val="FF0000"/>
                    </w:rPr>
                  </w:pPr>
                  <w:r w:rsidRPr="002A1234">
                    <w:t xml:space="preserve">The </w:t>
                  </w:r>
                  <w:r w:rsidR="00130BF9">
                    <w:t xml:space="preserve">initial </w:t>
                  </w:r>
                  <w:r w:rsidR="00511A19" w:rsidRPr="002A1234">
                    <w:t xml:space="preserve">TAMP </w:t>
                  </w:r>
                  <w:r w:rsidRPr="002A1234">
                    <w:t>must be s</w:t>
                  </w:r>
                  <w:r w:rsidR="00511A19" w:rsidRPr="002A1234">
                    <w:t xml:space="preserve">ubmitted to the Federal Highway Administration (FHWA) </w:t>
                  </w:r>
                  <w:r w:rsidRPr="002A1234">
                    <w:t>no later than April 30, 2018.</w:t>
                  </w:r>
                  <w:r>
                    <w:rPr>
                      <w:color w:val="FF0000"/>
                    </w:rPr>
                    <w:t xml:space="preserve"> </w:t>
                  </w:r>
                </w:p>
                <w:p w14:paraId="04BB6580" w14:textId="77777777" w:rsidR="00A758F2" w:rsidRPr="009B2381" w:rsidRDefault="00A758F2" w:rsidP="00A758F2">
                  <w:pPr>
                    <w:pStyle w:val="Heading3"/>
                    <w:spacing w:before="0"/>
                    <w:ind w:right="90"/>
                    <w:outlineLvl w:val="2"/>
                    <w:rPr>
                      <w:b/>
                      <w:color w:val="auto"/>
                      <w:sz w:val="24"/>
                      <w:u w:val="single"/>
                    </w:rPr>
                  </w:pPr>
                </w:p>
                <w:p w14:paraId="24318DCF" w14:textId="77777777" w:rsidR="004172FE" w:rsidRPr="009B2381" w:rsidRDefault="004172FE" w:rsidP="002F3F58">
                  <w:pPr>
                    <w:pStyle w:val="Heading2"/>
                  </w:pPr>
                  <w:r w:rsidRPr="009B2381">
                    <w:t>Stakeholders:</w:t>
                  </w:r>
                </w:p>
                <w:p w14:paraId="1BBFA846" w14:textId="03B4FFAB" w:rsidR="002A1234" w:rsidRPr="007231AC" w:rsidRDefault="002A1234" w:rsidP="00A758F2">
                  <w:r>
                    <w:t>The California Department of Transportation (</w:t>
                  </w:r>
                  <w:r w:rsidRPr="009B2381">
                    <w:t>Caltrans</w:t>
                  </w:r>
                  <w:r>
                    <w:t xml:space="preserve">) </w:t>
                  </w:r>
                  <w:r w:rsidRPr="007231AC">
                    <w:t>has engaged the following stakeholders in the development of the TAMP:</w:t>
                  </w:r>
                </w:p>
                <w:p w14:paraId="7FD8D17A" w14:textId="47845344" w:rsidR="002A1234" w:rsidRPr="007231AC" w:rsidRDefault="002A1234" w:rsidP="002A1234">
                  <w:pPr>
                    <w:pStyle w:val="ListParagraph"/>
                    <w:numPr>
                      <w:ilvl w:val="0"/>
                      <w:numId w:val="14"/>
                    </w:numPr>
                    <w:spacing w:after="0"/>
                    <w:rPr>
                      <w:rFonts w:eastAsiaTheme="minorEastAsia"/>
                      <w:sz w:val="24"/>
                      <w:szCs w:val="24"/>
                      <w:lang w:eastAsia="ja-JP"/>
                    </w:rPr>
                  </w:pPr>
                  <w:r w:rsidRPr="007231AC">
                    <w:rPr>
                      <w:rFonts w:eastAsiaTheme="minorEastAsia"/>
                      <w:sz w:val="24"/>
                      <w:szCs w:val="24"/>
                      <w:lang w:eastAsia="ja-JP"/>
                    </w:rPr>
                    <w:t>Metropolitan Planning Organizations</w:t>
                  </w:r>
                  <w:r w:rsidR="00B959CC">
                    <w:rPr>
                      <w:rFonts w:eastAsiaTheme="minorEastAsia"/>
                      <w:sz w:val="24"/>
                      <w:szCs w:val="24"/>
                      <w:lang w:eastAsia="ja-JP"/>
                    </w:rPr>
                    <w:t xml:space="preserve"> (MPOs)</w:t>
                  </w:r>
                  <w:r w:rsidRPr="007231AC">
                    <w:rPr>
                      <w:rFonts w:eastAsiaTheme="minorEastAsia"/>
                      <w:sz w:val="24"/>
                      <w:szCs w:val="24"/>
                      <w:lang w:eastAsia="ja-JP"/>
                    </w:rPr>
                    <w:t xml:space="preserve"> and Rural Transportation Planning </w:t>
                  </w:r>
                  <w:r w:rsidR="00B959CC">
                    <w:rPr>
                      <w:rFonts w:eastAsiaTheme="minorEastAsia"/>
                      <w:sz w:val="24"/>
                      <w:szCs w:val="24"/>
                      <w:lang w:eastAsia="ja-JP"/>
                    </w:rPr>
                    <w:t>Agencies (RTPAs)</w:t>
                  </w:r>
                </w:p>
                <w:p w14:paraId="35583D9E" w14:textId="43DA57C5" w:rsidR="002A1234" w:rsidRPr="007231AC" w:rsidRDefault="00B959CC" w:rsidP="002A1234">
                  <w:pPr>
                    <w:pStyle w:val="ListParagraph"/>
                    <w:numPr>
                      <w:ilvl w:val="0"/>
                      <w:numId w:val="14"/>
                    </w:numPr>
                    <w:spacing w:after="0"/>
                    <w:rPr>
                      <w:rFonts w:eastAsiaTheme="minorEastAsia"/>
                      <w:sz w:val="24"/>
                      <w:szCs w:val="24"/>
                      <w:lang w:eastAsia="ja-JP"/>
                    </w:rPr>
                  </w:pPr>
                  <w:r>
                    <w:rPr>
                      <w:rFonts w:eastAsiaTheme="minorEastAsia"/>
                      <w:sz w:val="24"/>
                      <w:szCs w:val="24"/>
                      <w:lang w:eastAsia="ja-JP"/>
                    </w:rPr>
                    <w:lastRenderedPageBreak/>
                    <w:t>Cities and c</w:t>
                  </w:r>
                  <w:r w:rsidR="002A1234" w:rsidRPr="007231AC">
                    <w:rPr>
                      <w:rFonts w:eastAsiaTheme="minorEastAsia"/>
                      <w:sz w:val="24"/>
                      <w:szCs w:val="24"/>
                      <w:lang w:eastAsia="ja-JP"/>
                    </w:rPr>
                    <w:t>ounties</w:t>
                  </w:r>
                </w:p>
                <w:p w14:paraId="15409F28" w14:textId="5EC6F3E3" w:rsidR="002A1234" w:rsidRPr="007231AC" w:rsidRDefault="00B959CC" w:rsidP="002A1234">
                  <w:pPr>
                    <w:pStyle w:val="ListParagraph"/>
                    <w:numPr>
                      <w:ilvl w:val="0"/>
                      <w:numId w:val="14"/>
                    </w:numPr>
                    <w:spacing w:after="0"/>
                    <w:rPr>
                      <w:rFonts w:eastAsiaTheme="minorEastAsia"/>
                      <w:sz w:val="24"/>
                      <w:szCs w:val="24"/>
                      <w:lang w:eastAsia="ja-JP"/>
                    </w:rPr>
                  </w:pPr>
                  <w:r>
                    <w:rPr>
                      <w:rFonts w:eastAsiaTheme="minorEastAsia"/>
                      <w:sz w:val="24"/>
                      <w:szCs w:val="24"/>
                      <w:lang w:eastAsia="ja-JP"/>
                    </w:rPr>
                    <w:t>Bicycle and pedestrian c</w:t>
                  </w:r>
                  <w:r w:rsidR="002A1234" w:rsidRPr="007231AC">
                    <w:rPr>
                      <w:rFonts w:eastAsiaTheme="minorEastAsia"/>
                      <w:sz w:val="24"/>
                      <w:szCs w:val="24"/>
                      <w:lang w:eastAsia="ja-JP"/>
                    </w:rPr>
                    <w:t>oalitions</w:t>
                  </w:r>
                </w:p>
                <w:p w14:paraId="32C73BAC" w14:textId="0CBCA453" w:rsidR="007231AC" w:rsidRDefault="00B959CC" w:rsidP="002A1234">
                  <w:pPr>
                    <w:pStyle w:val="ListParagraph"/>
                    <w:numPr>
                      <w:ilvl w:val="0"/>
                      <w:numId w:val="14"/>
                    </w:numPr>
                    <w:spacing w:after="0"/>
                    <w:rPr>
                      <w:rFonts w:eastAsiaTheme="minorEastAsia"/>
                      <w:sz w:val="24"/>
                      <w:szCs w:val="24"/>
                      <w:lang w:eastAsia="ja-JP"/>
                    </w:rPr>
                  </w:pPr>
                  <w:r>
                    <w:rPr>
                      <w:rFonts w:eastAsiaTheme="minorEastAsia"/>
                      <w:sz w:val="24"/>
                      <w:szCs w:val="24"/>
                      <w:lang w:eastAsia="ja-JP"/>
                    </w:rPr>
                    <w:t>Tribal g</w:t>
                  </w:r>
                  <w:r w:rsidR="002A1234" w:rsidRPr="007231AC">
                    <w:rPr>
                      <w:rFonts w:eastAsiaTheme="minorEastAsia"/>
                      <w:sz w:val="24"/>
                      <w:szCs w:val="24"/>
                      <w:lang w:eastAsia="ja-JP"/>
                    </w:rPr>
                    <w:t>overnment</w:t>
                  </w:r>
                  <w:r w:rsidR="007231AC" w:rsidRPr="007231AC">
                    <w:rPr>
                      <w:rFonts w:eastAsiaTheme="minorEastAsia"/>
                      <w:sz w:val="24"/>
                      <w:szCs w:val="24"/>
                      <w:lang w:eastAsia="ja-JP"/>
                    </w:rPr>
                    <w:t>s</w:t>
                  </w:r>
                </w:p>
                <w:p w14:paraId="2C56C66A" w14:textId="649BA62B" w:rsidR="007231AC" w:rsidRDefault="00C54034" w:rsidP="002A1234">
                  <w:pPr>
                    <w:pStyle w:val="ListParagraph"/>
                    <w:numPr>
                      <w:ilvl w:val="0"/>
                      <w:numId w:val="14"/>
                    </w:numPr>
                    <w:spacing w:after="0"/>
                    <w:rPr>
                      <w:rFonts w:eastAsiaTheme="minorEastAsia"/>
                      <w:sz w:val="24"/>
                      <w:szCs w:val="24"/>
                      <w:lang w:eastAsia="ja-JP"/>
                    </w:rPr>
                  </w:pPr>
                  <w:r>
                    <w:rPr>
                      <w:rFonts w:eastAsiaTheme="minorEastAsia"/>
                      <w:sz w:val="24"/>
                      <w:szCs w:val="24"/>
                      <w:lang w:eastAsia="ja-JP"/>
                    </w:rPr>
                    <w:t xml:space="preserve">The </w:t>
                  </w:r>
                  <w:r w:rsidR="007231AC">
                    <w:rPr>
                      <w:rFonts w:eastAsiaTheme="minorEastAsia"/>
                      <w:sz w:val="24"/>
                      <w:szCs w:val="24"/>
                      <w:lang w:eastAsia="ja-JP"/>
                    </w:rPr>
                    <w:t>California Trans</w:t>
                  </w:r>
                  <w:r>
                    <w:rPr>
                      <w:rFonts w:eastAsiaTheme="minorEastAsia"/>
                      <w:sz w:val="24"/>
                      <w:szCs w:val="24"/>
                      <w:lang w:eastAsia="ja-JP"/>
                    </w:rPr>
                    <w:t>portation Commission (CTC</w:t>
                  </w:r>
                  <w:r w:rsidR="007231AC">
                    <w:rPr>
                      <w:rFonts w:eastAsiaTheme="minorEastAsia"/>
                      <w:sz w:val="24"/>
                      <w:szCs w:val="24"/>
                      <w:lang w:eastAsia="ja-JP"/>
                    </w:rPr>
                    <w:t>)</w:t>
                  </w:r>
                </w:p>
                <w:p w14:paraId="3F88A6B3" w14:textId="5071C4A5" w:rsidR="002A1234" w:rsidRPr="007231AC" w:rsidRDefault="007231AC" w:rsidP="002A1234">
                  <w:pPr>
                    <w:pStyle w:val="ListParagraph"/>
                    <w:numPr>
                      <w:ilvl w:val="0"/>
                      <w:numId w:val="14"/>
                    </w:numPr>
                    <w:spacing w:after="0"/>
                    <w:rPr>
                      <w:rFonts w:eastAsiaTheme="minorEastAsia"/>
                      <w:sz w:val="24"/>
                      <w:szCs w:val="24"/>
                      <w:lang w:eastAsia="ja-JP"/>
                    </w:rPr>
                  </w:pPr>
                  <w:r>
                    <w:rPr>
                      <w:rFonts w:eastAsiaTheme="minorEastAsia"/>
                      <w:sz w:val="24"/>
                      <w:szCs w:val="24"/>
                      <w:lang w:eastAsia="ja-JP"/>
                    </w:rPr>
                    <w:t>FHWA</w:t>
                  </w:r>
                  <w:r w:rsidR="002A1234" w:rsidRPr="007231AC">
                    <w:rPr>
                      <w:rFonts w:eastAsiaTheme="minorEastAsia"/>
                      <w:sz w:val="24"/>
                      <w:szCs w:val="24"/>
                      <w:lang w:eastAsia="ja-JP"/>
                    </w:rPr>
                    <w:t xml:space="preserve"> </w:t>
                  </w:r>
                </w:p>
                <w:p w14:paraId="2BCEFAB5" w14:textId="77777777" w:rsidR="004172FE" w:rsidRPr="009B2381" w:rsidRDefault="004172FE" w:rsidP="00A758F2"/>
                <w:p w14:paraId="3E74CC7E" w14:textId="77777777" w:rsidR="004172FE" w:rsidRDefault="004172FE" w:rsidP="002F3F58">
                  <w:pPr>
                    <w:pStyle w:val="Heading2"/>
                  </w:pPr>
                  <w:r w:rsidRPr="009B2381">
                    <w:t>Major Issues:</w:t>
                  </w:r>
                </w:p>
                <w:p w14:paraId="5636E170" w14:textId="12736440" w:rsidR="007231AC" w:rsidRPr="007231AC" w:rsidRDefault="007231AC" w:rsidP="007231AC">
                  <w:r>
                    <w:t>None</w:t>
                  </w:r>
                </w:p>
                <w:p w14:paraId="4242A73F" w14:textId="77777777" w:rsidR="00C54034" w:rsidRDefault="00C54034" w:rsidP="00C54034">
                  <w:pPr>
                    <w:pStyle w:val="Heading3"/>
                    <w:spacing w:before="0"/>
                    <w:ind w:right="90"/>
                    <w:outlineLvl w:val="2"/>
                    <w:rPr>
                      <w:b/>
                      <w:color w:val="auto"/>
                      <w:sz w:val="24"/>
                      <w:u w:val="single"/>
                    </w:rPr>
                  </w:pPr>
                </w:p>
                <w:p w14:paraId="238C95E8" w14:textId="77777777" w:rsidR="00A720CB" w:rsidRPr="009B2381" w:rsidRDefault="00F952D2" w:rsidP="002F3F58">
                  <w:pPr>
                    <w:pStyle w:val="Heading2"/>
                  </w:pPr>
                  <w:r w:rsidRPr="009B2381">
                    <w:t>F</w:t>
                  </w:r>
                  <w:r w:rsidR="00F7505B" w:rsidRPr="009B2381">
                    <w:t>acilitation and Technical Support:</w:t>
                  </w:r>
                </w:p>
                <w:p w14:paraId="635FB800" w14:textId="4C800985" w:rsidR="0084376B" w:rsidRPr="009B2381" w:rsidRDefault="007231AC" w:rsidP="00BB7690">
                  <w:r>
                    <w:t xml:space="preserve">Caltrans contracted with </w:t>
                  </w:r>
                  <w:r w:rsidR="0084376B" w:rsidRPr="009B2381">
                    <w:t>a consultant to assist w</w:t>
                  </w:r>
                  <w:r w:rsidR="00846C30" w:rsidRPr="009B2381">
                    <w:t xml:space="preserve">ith </w:t>
                  </w:r>
                  <w:r w:rsidR="00130BF9">
                    <w:t>the development of the TAMP and stakeholder coordination.</w:t>
                  </w:r>
                </w:p>
                <w:p w14:paraId="6A22C638" w14:textId="77777777" w:rsidR="00A758F2" w:rsidRPr="009B2381" w:rsidRDefault="00A758F2" w:rsidP="00BB7690"/>
                <w:p w14:paraId="531B339A" w14:textId="77777777" w:rsidR="00F7505B" w:rsidRDefault="00F7505B" w:rsidP="002F3F58">
                  <w:pPr>
                    <w:pStyle w:val="Heading2"/>
                  </w:pPr>
                  <w:r w:rsidRPr="009B2381">
                    <w:t>Engagement Timeline:</w:t>
                  </w:r>
                </w:p>
                <w:p w14:paraId="13D9A2DA" w14:textId="37E66FD9" w:rsidR="005C6E15" w:rsidRDefault="008D4906" w:rsidP="005C6E15">
                  <w:r w:rsidRPr="000B46CF">
                    <w:rPr>
                      <w:rFonts w:asciiTheme="majorHAnsi" w:hAnsiTheme="majorHAnsi"/>
                    </w:rPr>
                    <w:t xml:space="preserve">Caltrans took </w:t>
                  </w:r>
                  <w:proofErr w:type="gramStart"/>
                  <w:r w:rsidRPr="000B46CF">
                    <w:rPr>
                      <w:rFonts w:asciiTheme="majorHAnsi" w:hAnsiTheme="majorHAnsi"/>
                    </w:rPr>
                    <w:t>a number of</w:t>
                  </w:r>
                  <w:proofErr w:type="gramEnd"/>
                  <w:r w:rsidRPr="000B46CF">
                    <w:rPr>
                      <w:rFonts w:asciiTheme="majorHAnsi" w:hAnsiTheme="majorHAnsi"/>
                    </w:rPr>
                    <w:t xml:space="preserve"> steps to increase external stakeholder awareness of the requirements of asset management and engage</w:t>
                  </w:r>
                  <w:r w:rsidRPr="00C54034">
                    <w:rPr>
                      <w:rFonts w:asciiTheme="majorHAnsi" w:hAnsiTheme="majorHAnsi"/>
                    </w:rPr>
                    <w:t xml:space="preserve"> partners </w:t>
                  </w:r>
                  <w:r w:rsidRPr="000B46CF">
                    <w:rPr>
                      <w:rFonts w:asciiTheme="majorHAnsi" w:hAnsiTheme="majorHAnsi"/>
                    </w:rPr>
                    <w:t>in key performance management decisions.</w:t>
                  </w:r>
                  <w:r w:rsidRPr="00C54034">
                    <w:rPr>
                      <w:rFonts w:asciiTheme="majorHAnsi" w:hAnsiTheme="majorHAnsi"/>
                    </w:rPr>
                    <w:t xml:space="preserve">  </w:t>
                  </w:r>
                  <w:r w:rsidR="005C6E15" w:rsidRPr="009B2381">
                    <w:t>In order to engage our partners in the development of the TAMP, Caltrans has or is conducting the following outreach efforts:</w:t>
                  </w:r>
                </w:p>
                <w:p w14:paraId="4571D258" w14:textId="77777777" w:rsidR="008A730D" w:rsidRPr="009B2381" w:rsidRDefault="008A730D" w:rsidP="005C6E15"/>
                <w:p w14:paraId="55976BF1" w14:textId="41CCDDEE" w:rsidR="007305C5" w:rsidRPr="009B2381" w:rsidRDefault="00957FCF" w:rsidP="00F952D2">
                  <w:pPr>
                    <w:pStyle w:val="ListParagraph"/>
                    <w:numPr>
                      <w:ilvl w:val="0"/>
                      <w:numId w:val="13"/>
                    </w:numPr>
                    <w:spacing w:after="0"/>
                    <w:rPr>
                      <w:sz w:val="24"/>
                      <w:szCs w:val="24"/>
                    </w:rPr>
                  </w:pPr>
                  <w:r w:rsidRPr="009B2381">
                    <w:rPr>
                      <w:b/>
                      <w:sz w:val="24"/>
                      <w:szCs w:val="24"/>
                    </w:rPr>
                    <w:t xml:space="preserve">August </w:t>
                  </w:r>
                  <w:r w:rsidR="007305C5" w:rsidRPr="009B2381">
                    <w:rPr>
                      <w:b/>
                      <w:sz w:val="24"/>
                      <w:szCs w:val="24"/>
                    </w:rPr>
                    <w:t>2015</w:t>
                  </w:r>
                  <w:r w:rsidR="007305C5" w:rsidRPr="009B2381">
                    <w:rPr>
                      <w:sz w:val="24"/>
                      <w:szCs w:val="24"/>
                    </w:rPr>
                    <w:t xml:space="preserve"> – Caltrans co-sponsored an Asset Management and SHOPP workshop with the Commission</w:t>
                  </w:r>
                  <w:r w:rsidR="00496EC1">
                    <w:rPr>
                      <w:sz w:val="24"/>
                      <w:szCs w:val="24"/>
                    </w:rPr>
                    <w:t xml:space="preserve">.  The workshop was </w:t>
                  </w:r>
                  <w:r w:rsidRPr="009B2381">
                    <w:rPr>
                      <w:sz w:val="24"/>
                      <w:szCs w:val="24"/>
                    </w:rPr>
                    <w:t>held in Sacramento</w:t>
                  </w:r>
                  <w:r w:rsidR="00496EC1">
                    <w:rPr>
                      <w:sz w:val="24"/>
                      <w:szCs w:val="24"/>
                    </w:rPr>
                    <w:t xml:space="preserve">, in </w:t>
                  </w:r>
                  <w:r w:rsidR="007305C5" w:rsidRPr="009B2381">
                    <w:rPr>
                      <w:sz w:val="24"/>
                      <w:szCs w:val="24"/>
                    </w:rPr>
                    <w:t>conjunction with the California Council of Governments Executive Board meeting</w:t>
                  </w:r>
                  <w:r w:rsidR="00496EC1">
                    <w:rPr>
                      <w:sz w:val="24"/>
                      <w:szCs w:val="24"/>
                    </w:rPr>
                    <w:t xml:space="preserve">. </w:t>
                  </w:r>
                  <w:r w:rsidR="00C54034">
                    <w:rPr>
                      <w:sz w:val="24"/>
                      <w:szCs w:val="24"/>
                    </w:rPr>
                    <w:t xml:space="preserve"> </w:t>
                  </w:r>
                  <w:r w:rsidR="00496EC1">
                    <w:rPr>
                      <w:sz w:val="24"/>
                      <w:szCs w:val="24"/>
                    </w:rPr>
                    <w:t xml:space="preserve">The workshop </w:t>
                  </w:r>
                  <w:r w:rsidR="007305C5" w:rsidRPr="009B2381">
                    <w:rPr>
                      <w:sz w:val="24"/>
                      <w:szCs w:val="24"/>
                    </w:rPr>
                    <w:t xml:space="preserve">featured presentations by Caltrans and </w:t>
                  </w:r>
                  <w:r w:rsidR="00C54034">
                    <w:rPr>
                      <w:sz w:val="24"/>
                      <w:szCs w:val="24"/>
                    </w:rPr>
                    <w:t>the CTC</w:t>
                  </w:r>
                  <w:r w:rsidR="00BD438A" w:rsidRPr="009B2381">
                    <w:rPr>
                      <w:sz w:val="24"/>
                      <w:szCs w:val="24"/>
                    </w:rPr>
                    <w:t xml:space="preserve"> </w:t>
                  </w:r>
                  <w:r w:rsidR="007305C5" w:rsidRPr="009B2381">
                    <w:rPr>
                      <w:sz w:val="24"/>
                      <w:szCs w:val="24"/>
                    </w:rPr>
                    <w:t xml:space="preserve">staff on asset management and the SHOPP development process.  A discussion session followed the presentations that provided </w:t>
                  </w:r>
                  <w:r w:rsidR="005C6E15">
                    <w:rPr>
                      <w:sz w:val="24"/>
                      <w:szCs w:val="24"/>
                    </w:rPr>
                    <w:t xml:space="preserve">Caltrans with </w:t>
                  </w:r>
                  <w:proofErr w:type="gramStart"/>
                  <w:r w:rsidR="005C6E15">
                    <w:rPr>
                      <w:sz w:val="24"/>
                      <w:szCs w:val="24"/>
                    </w:rPr>
                    <w:t>a number of</w:t>
                  </w:r>
                  <w:proofErr w:type="gramEnd"/>
                  <w:r w:rsidR="005C6E15">
                    <w:rPr>
                      <w:sz w:val="24"/>
                      <w:szCs w:val="24"/>
                    </w:rPr>
                    <w:t xml:space="preserve"> </w:t>
                  </w:r>
                  <w:r w:rsidR="007305C5" w:rsidRPr="009B2381">
                    <w:rPr>
                      <w:sz w:val="24"/>
                      <w:szCs w:val="24"/>
                    </w:rPr>
                    <w:t>suggestions for improvement.</w:t>
                  </w:r>
                </w:p>
                <w:p w14:paraId="2D14E3F4" w14:textId="77777777" w:rsidR="007305C5" w:rsidRPr="009B2381" w:rsidRDefault="007305C5" w:rsidP="00F952D2">
                  <w:pPr>
                    <w:ind w:right="90"/>
                  </w:pPr>
                </w:p>
                <w:p w14:paraId="1579D498" w14:textId="4A6A471E" w:rsidR="002C5950" w:rsidRPr="009B2381" w:rsidRDefault="002C5950" w:rsidP="00F952D2">
                  <w:pPr>
                    <w:pStyle w:val="ListParagraph"/>
                    <w:numPr>
                      <w:ilvl w:val="0"/>
                      <w:numId w:val="13"/>
                    </w:numPr>
                    <w:spacing w:after="0"/>
                    <w:rPr>
                      <w:sz w:val="24"/>
                      <w:szCs w:val="24"/>
                    </w:rPr>
                  </w:pPr>
                  <w:r w:rsidRPr="009B2381">
                    <w:rPr>
                      <w:b/>
                      <w:sz w:val="24"/>
                      <w:szCs w:val="24"/>
                    </w:rPr>
                    <w:t>December 15, 2016</w:t>
                  </w:r>
                  <w:r w:rsidRPr="009B2381">
                    <w:rPr>
                      <w:sz w:val="24"/>
                      <w:szCs w:val="24"/>
                    </w:rPr>
                    <w:t xml:space="preserve"> – </w:t>
                  </w:r>
                  <w:r w:rsidR="005C6E15">
                    <w:rPr>
                      <w:sz w:val="24"/>
                      <w:szCs w:val="24"/>
                    </w:rPr>
                    <w:t>Caltrans</w:t>
                  </w:r>
                  <w:r w:rsidR="00C54034">
                    <w:rPr>
                      <w:sz w:val="24"/>
                      <w:szCs w:val="24"/>
                    </w:rPr>
                    <w:t xml:space="preserve"> and the CTC</w:t>
                  </w:r>
                  <w:r w:rsidR="00496EC1">
                    <w:rPr>
                      <w:sz w:val="24"/>
                      <w:szCs w:val="24"/>
                    </w:rPr>
                    <w:t xml:space="preserve"> s</w:t>
                  </w:r>
                  <w:r w:rsidR="005C6E15">
                    <w:rPr>
                      <w:sz w:val="24"/>
                      <w:szCs w:val="24"/>
                    </w:rPr>
                    <w:t xml:space="preserve">ponsored a </w:t>
                  </w:r>
                  <w:r w:rsidR="00496EC1">
                    <w:rPr>
                      <w:sz w:val="24"/>
                      <w:szCs w:val="24"/>
                    </w:rPr>
                    <w:t xml:space="preserve">1-day workshop, in Sacramento, that focused on the </w:t>
                  </w:r>
                  <w:r w:rsidR="005C6E15">
                    <w:rPr>
                      <w:sz w:val="24"/>
                      <w:szCs w:val="24"/>
                    </w:rPr>
                    <w:t xml:space="preserve">goals and objectives </w:t>
                  </w:r>
                  <w:r w:rsidR="00496EC1">
                    <w:rPr>
                      <w:sz w:val="24"/>
                      <w:szCs w:val="24"/>
                    </w:rPr>
                    <w:t xml:space="preserve">for the TAMP.  External stakeholders included </w:t>
                  </w:r>
                  <w:r w:rsidRPr="009B2381">
                    <w:rPr>
                      <w:sz w:val="24"/>
                      <w:szCs w:val="24"/>
                    </w:rPr>
                    <w:t>MPO</w:t>
                  </w:r>
                  <w:r w:rsidR="00617114">
                    <w:rPr>
                      <w:sz w:val="24"/>
                      <w:szCs w:val="24"/>
                    </w:rPr>
                    <w:t>s</w:t>
                  </w:r>
                  <w:r w:rsidRPr="009B2381">
                    <w:rPr>
                      <w:sz w:val="24"/>
                      <w:szCs w:val="24"/>
                    </w:rPr>
                    <w:t>, RTPA</w:t>
                  </w:r>
                  <w:r w:rsidR="00617114">
                    <w:rPr>
                      <w:sz w:val="24"/>
                      <w:szCs w:val="24"/>
                    </w:rPr>
                    <w:t>s</w:t>
                  </w:r>
                  <w:r w:rsidR="005C6E15">
                    <w:rPr>
                      <w:sz w:val="24"/>
                      <w:szCs w:val="24"/>
                    </w:rPr>
                    <w:t xml:space="preserve">, </w:t>
                  </w:r>
                  <w:r w:rsidR="00C2658B">
                    <w:rPr>
                      <w:sz w:val="24"/>
                      <w:szCs w:val="24"/>
                    </w:rPr>
                    <w:t xml:space="preserve">cities, </w:t>
                  </w:r>
                  <w:r w:rsidR="005C6E15">
                    <w:rPr>
                      <w:sz w:val="24"/>
                      <w:szCs w:val="24"/>
                    </w:rPr>
                    <w:t>counties</w:t>
                  </w:r>
                  <w:r w:rsidR="00C2658B">
                    <w:rPr>
                      <w:sz w:val="24"/>
                      <w:szCs w:val="24"/>
                    </w:rPr>
                    <w:t>, bicycle and pedestrian coalitions</w:t>
                  </w:r>
                  <w:r w:rsidR="005C6E15">
                    <w:rPr>
                      <w:sz w:val="24"/>
                      <w:szCs w:val="24"/>
                    </w:rPr>
                    <w:t xml:space="preserve">, </w:t>
                  </w:r>
                  <w:r w:rsidR="00B959CC">
                    <w:rPr>
                      <w:sz w:val="24"/>
                      <w:szCs w:val="24"/>
                    </w:rPr>
                    <w:t xml:space="preserve">tribal governments, </w:t>
                  </w:r>
                  <w:r w:rsidR="005C6E15">
                    <w:rPr>
                      <w:sz w:val="24"/>
                      <w:szCs w:val="24"/>
                    </w:rPr>
                    <w:t xml:space="preserve">as well as staff from </w:t>
                  </w:r>
                  <w:r w:rsidR="002B7F4C">
                    <w:rPr>
                      <w:sz w:val="24"/>
                      <w:szCs w:val="24"/>
                    </w:rPr>
                    <w:t>FHWA</w:t>
                  </w:r>
                  <w:r w:rsidR="005C6E15">
                    <w:rPr>
                      <w:sz w:val="24"/>
                      <w:szCs w:val="24"/>
                    </w:rPr>
                    <w:t xml:space="preserve">. </w:t>
                  </w:r>
                  <w:r w:rsidR="00C54034">
                    <w:rPr>
                      <w:sz w:val="24"/>
                      <w:szCs w:val="24"/>
                    </w:rPr>
                    <w:t xml:space="preserve"> </w:t>
                  </w:r>
                  <w:r w:rsidR="00496EC1">
                    <w:rPr>
                      <w:sz w:val="24"/>
                      <w:szCs w:val="24"/>
                    </w:rPr>
                    <w:t xml:space="preserve">This was an </w:t>
                  </w:r>
                  <w:r w:rsidRPr="009B2381">
                    <w:rPr>
                      <w:sz w:val="24"/>
                      <w:szCs w:val="24"/>
                    </w:rPr>
                    <w:t xml:space="preserve">interactive strategic session that </w:t>
                  </w:r>
                  <w:r w:rsidR="007305C5" w:rsidRPr="009B2381">
                    <w:rPr>
                      <w:sz w:val="24"/>
                      <w:szCs w:val="24"/>
                    </w:rPr>
                    <w:t>provided the foundation for the development of the TAMP.</w:t>
                  </w:r>
                </w:p>
                <w:p w14:paraId="7DDD9399" w14:textId="77777777" w:rsidR="002C5950" w:rsidRPr="009B2381" w:rsidRDefault="002C5950" w:rsidP="00F952D2"/>
                <w:p w14:paraId="38744041" w14:textId="0645760F" w:rsidR="007305C5" w:rsidRPr="009B2381" w:rsidRDefault="002C5950" w:rsidP="00F952D2">
                  <w:pPr>
                    <w:pStyle w:val="ListParagraph"/>
                    <w:numPr>
                      <w:ilvl w:val="0"/>
                      <w:numId w:val="13"/>
                    </w:numPr>
                    <w:autoSpaceDE w:val="0"/>
                    <w:autoSpaceDN w:val="0"/>
                    <w:adjustRightInd w:val="0"/>
                    <w:spacing w:after="0"/>
                    <w:rPr>
                      <w:sz w:val="24"/>
                      <w:szCs w:val="24"/>
                    </w:rPr>
                  </w:pPr>
                  <w:r w:rsidRPr="009B2381">
                    <w:rPr>
                      <w:b/>
                      <w:sz w:val="24"/>
                      <w:szCs w:val="24"/>
                    </w:rPr>
                    <w:t>April 19, 2017</w:t>
                  </w:r>
                  <w:r w:rsidRPr="009B2381">
                    <w:rPr>
                      <w:sz w:val="24"/>
                      <w:szCs w:val="24"/>
                    </w:rPr>
                    <w:t xml:space="preserve"> – </w:t>
                  </w:r>
                  <w:r w:rsidR="00C54034">
                    <w:rPr>
                      <w:sz w:val="24"/>
                      <w:szCs w:val="24"/>
                    </w:rPr>
                    <w:t>Caltrans and the CTC</w:t>
                  </w:r>
                  <w:r w:rsidR="00496EC1">
                    <w:rPr>
                      <w:sz w:val="24"/>
                      <w:szCs w:val="24"/>
                    </w:rPr>
                    <w:t xml:space="preserve"> sponsored a half day workshop, in Los Angeles, that focused on the </w:t>
                  </w:r>
                  <w:r w:rsidR="00496EC1" w:rsidRPr="009B2381">
                    <w:rPr>
                      <w:sz w:val="24"/>
                      <w:szCs w:val="24"/>
                    </w:rPr>
                    <w:t>risk management</w:t>
                  </w:r>
                  <w:r w:rsidR="00496EC1">
                    <w:rPr>
                      <w:sz w:val="24"/>
                      <w:szCs w:val="24"/>
                    </w:rPr>
                    <w:t xml:space="preserve"> portion of the TAMP.  External stakeholders included </w:t>
                  </w:r>
                  <w:r w:rsidR="00496EC1" w:rsidRPr="009B2381">
                    <w:rPr>
                      <w:sz w:val="24"/>
                      <w:szCs w:val="24"/>
                    </w:rPr>
                    <w:t>MPO</w:t>
                  </w:r>
                  <w:r w:rsidR="00496EC1">
                    <w:rPr>
                      <w:sz w:val="24"/>
                      <w:szCs w:val="24"/>
                    </w:rPr>
                    <w:t>s</w:t>
                  </w:r>
                  <w:r w:rsidR="00496EC1" w:rsidRPr="009B2381">
                    <w:rPr>
                      <w:sz w:val="24"/>
                      <w:szCs w:val="24"/>
                    </w:rPr>
                    <w:t>, RTPA</w:t>
                  </w:r>
                  <w:r w:rsidR="00496EC1">
                    <w:rPr>
                      <w:sz w:val="24"/>
                      <w:szCs w:val="24"/>
                    </w:rPr>
                    <w:t xml:space="preserve">s, </w:t>
                  </w:r>
                  <w:r w:rsidR="00C2658B">
                    <w:rPr>
                      <w:sz w:val="24"/>
                      <w:szCs w:val="24"/>
                    </w:rPr>
                    <w:t>cities, counties, bicycle and pedestrian coalitions,</w:t>
                  </w:r>
                  <w:r w:rsidR="00496EC1">
                    <w:rPr>
                      <w:sz w:val="24"/>
                      <w:szCs w:val="24"/>
                    </w:rPr>
                    <w:t xml:space="preserve"> </w:t>
                  </w:r>
                  <w:r w:rsidR="00B959CC">
                    <w:rPr>
                      <w:sz w:val="24"/>
                      <w:szCs w:val="24"/>
                    </w:rPr>
                    <w:t xml:space="preserve">tribal governments, </w:t>
                  </w:r>
                  <w:r w:rsidR="00496EC1">
                    <w:rPr>
                      <w:sz w:val="24"/>
                      <w:szCs w:val="24"/>
                    </w:rPr>
                    <w:t xml:space="preserve">as well as staff from FHWA. </w:t>
                  </w:r>
                  <w:r w:rsidR="001B097C">
                    <w:rPr>
                      <w:sz w:val="24"/>
                      <w:szCs w:val="24"/>
                    </w:rPr>
                    <w:t xml:space="preserve"> </w:t>
                  </w:r>
                  <w:r w:rsidR="002B7F4C">
                    <w:rPr>
                      <w:sz w:val="24"/>
                      <w:szCs w:val="24"/>
                    </w:rPr>
                    <w:t>This was</w:t>
                  </w:r>
                  <w:r w:rsidR="007305C5" w:rsidRPr="009B2381">
                    <w:rPr>
                      <w:sz w:val="24"/>
                      <w:szCs w:val="24"/>
                    </w:rPr>
                    <w:t xml:space="preserve"> an interactive </w:t>
                  </w:r>
                  <w:r w:rsidR="002B7F4C">
                    <w:rPr>
                      <w:sz w:val="24"/>
                      <w:szCs w:val="24"/>
                    </w:rPr>
                    <w:t xml:space="preserve">strategic </w:t>
                  </w:r>
                  <w:r w:rsidR="007305C5" w:rsidRPr="009B2381">
                    <w:rPr>
                      <w:sz w:val="24"/>
                      <w:szCs w:val="24"/>
                    </w:rPr>
                    <w:t xml:space="preserve">session </w:t>
                  </w:r>
                  <w:r w:rsidR="00496EC1">
                    <w:rPr>
                      <w:sz w:val="24"/>
                      <w:szCs w:val="24"/>
                    </w:rPr>
                    <w:t>that</w:t>
                  </w:r>
                  <w:r w:rsidR="002B7F4C">
                    <w:rPr>
                      <w:sz w:val="24"/>
                      <w:szCs w:val="24"/>
                    </w:rPr>
                    <w:t xml:space="preserve"> resulted in </w:t>
                  </w:r>
                  <w:r w:rsidR="007305C5" w:rsidRPr="009B2381">
                    <w:rPr>
                      <w:sz w:val="24"/>
                      <w:szCs w:val="24"/>
                    </w:rPr>
                    <w:t xml:space="preserve">a collective understanding of California’s transportation asset-related risks associated with current and future environmental conditions, financial, operational and strategic risks. </w:t>
                  </w:r>
                </w:p>
                <w:p w14:paraId="5ED1D833" w14:textId="77777777" w:rsidR="007305C5" w:rsidRPr="009B2381" w:rsidRDefault="007305C5" w:rsidP="00F952D2"/>
                <w:p w14:paraId="33600D85" w14:textId="0EB2C0C3" w:rsidR="007305C5" w:rsidRPr="009B2381" w:rsidRDefault="002B7F4C" w:rsidP="00F952D2">
                  <w:pPr>
                    <w:pStyle w:val="ListParagraph"/>
                    <w:numPr>
                      <w:ilvl w:val="0"/>
                      <w:numId w:val="13"/>
                    </w:numPr>
                    <w:spacing w:after="0"/>
                    <w:rPr>
                      <w:sz w:val="24"/>
                      <w:szCs w:val="24"/>
                    </w:rPr>
                  </w:pPr>
                  <w:r>
                    <w:rPr>
                      <w:b/>
                      <w:sz w:val="24"/>
                      <w:szCs w:val="24"/>
                    </w:rPr>
                    <w:t xml:space="preserve">June 14, </w:t>
                  </w:r>
                  <w:r w:rsidR="007305C5" w:rsidRPr="009B2381">
                    <w:rPr>
                      <w:b/>
                      <w:sz w:val="24"/>
                      <w:szCs w:val="24"/>
                    </w:rPr>
                    <w:t>2017</w:t>
                  </w:r>
                  <w:r w:rsidR="00F67400">
                    <w:rPr>
                      <w:sz w:val="24"/>
                      <w:szCs w:val="24"/>
                    </w:rPr>
                    <w:t xml:space="preserve"> – </w:t>
                  </w:r>
                  <w:r w:rsidR="00C54034">
                    <w:rPr>
                      <w:sz w:val="24"/>
                      <w:szCs w:val="24"/>
                    </w:rPr>
                    <w:t>Caltrans and the CTC</w:t>
                  </w:r>
                  <w:r w:rsidR="00496EC1">
                    <w:rPr>
                      <w:sz w:val="24"/>
                      <w:szCs w:val="24"/>
                    </w:rPr>
                    <w:t xml:space="preserve"> sponso</w:t>
                  </w:r>
                  <w:r w:rsidR="00E02BF7">
                    <w:rPr>
                      <w:sz w:val="24"/>
                      <w:szCs w:val="24"/>
                    </w:rPr>
                    <w:t>red</w:t>
                  </w:r>
                  <w:r w:rsidR="00496EC1">
                    <w:rPr>
                      <w:sz w:val="24"/>
                      <w:szCs w:val="24"/>
                    </w:rPr>
                    <w:t xml:space="preserve"> a half day workshop, in Oakland, that focus</w:t>
                  </w:r>
                  <w:r w:rsidR="00E02BF7">
                    <w:rPr>
                      <w:sz w:val="24"/>
                      <w:szCs w:val="24"/>
                    </w:rPr>
                    <w:t>ed</w:t>
                  </w:r>
                  <w:r w:rsidR="00C2658B">
                    <w:rPr>
                      <w:sz w:val="24"/>
                      <w:szCs w:val="24"/>
                    </w:rPr>
                    <w:t xml:space="preserve"> </w:t>
                  </w:r>
                  <w:r w:rsidR="00496EC1">
                    <w:rPr>
                      <w:sz w:val="24"/>
                      <w:szCs w:val="24"/>
                    </w:rPr>
                    <w:t xml:space="preserve">on the </w:t>
                  </w:r>
                  <w:r w:rsidR="00C2658B">
                    <w:rPr>
                      <w:sz w:val="24"/>
                      <w:szCs w:val="24"/>
                    </w:rPr>
                    <w:t xml:space="preserve">financial plan and investment strategies for the </w:t>
                  </w:r>
                  <w:r w:rsidR="00496EC1">
                    <w:rPr>
                      <w:sz w:val="24"/>
                      <w:szCs w:val="24"/>
                    </w:rPr>
                    <w:t>TAMP.  External stakeholders include</w:t>
                  </w:r>
                  <w:r w:rsidR="00E02BF7">
                    <w:rPr>
                      <w:sz w:val="24"/>
                      <w:szCs w:val="24"/>
                    </w:rPr>
                    <w:t>d</w:t>
                  </w:r>
                  <w:r w:rsidR="00496EC1">
                    <w:rPr>
                      <w:sz w:val="24"/>
                      <w:szCs w:val="24"/>
                    </w:rPr>
                    <w:t xml:space="preserve"> </w:t>
                  </w:r>
                  <w:r w:rsidR="00496EC1" w:rsidRPr="009B2381">
                    <w:rPr>
                      <w:sz w:val="24"/>
                      <w:szCs w:val="24"/>
                    </w:rPr>
                    <w:t>MPO</w:t>
                  </w:r>
                  <w:r w:rsidR="00496EC1">
                    <w:rPr>
                      <w:sz w:val="24"/>
                      <w:szCs w:val="24"/>
                    </w:rPr>
                    <w:t>s</w:t>
                  </w:r>
                  <w:r w:rsidR="00496EC1" w:rsidRPr="009B2381">
                    <w:rPr>
                      <w:sz w:val="24"/>
                      <w:szCs w:val="24"/>
                    </w:rPr>
                    <w:t>, RTPA</w:t>
                  </w:r>
                  <w:r w:rsidR="00496EC1">
                    <w:rPr>
                      <w:sz w:val="24"/>
                      <w:szCs w:val="24"/>
                    </w:rPr>
                    <w:t xml:space="preserve">s, </w:t>
                  </w:r>
                  <w:r w:rsidR="00C2658B">
                    <w:rPr>
                      <w:sz w:val="24"/>
                      <w:szCs w:val="24"/>
                    </w:rPr>
                    <w:t>cities, counties, bicycle and pedestrian coalitions,</w:t>
                  </w:r>
                  <w:r w:rsidR="00B959CC">
                    <w:rPr>
                      <w:sz w:val="24"/>
                      <w:szCs w:val="24"/>
                    </w:rPr>
                    <w:t xml:space="preserve"> tribal governments,</w:t>
                  </w:r>
                  <w:r w:rsidR="00496EC1">
                    <w:rPr>
                      <w:sz w:val="24"/>
                      <w:szCs w:val="24"/>
                    </w:rPr>
                    <w:t xml:space="preserve"> as well as staff from FHWA. </w:t>
                  </w:r>
                  <w:r w:rsidR="001B097C">
                    <w:rPr>
                      <w:sz w:val="24"/>
                      <w:szCs w:val="24"/>
                    </w:rPr>
                    <w:t xml:space="preserve"> </w:t>
                  </w:r>
                  <w:r w:rsidR="007305C5" w:rsidRPr="009B2381">
                    <w:rPr>
                      <w:sz w:val="24"/>
                      <w:szCs w:val="24"/>
                    </w:rPr>
                    <w:t xml:space="preserve">This </w:t>
                  </w:r>
                  <w:r w:rsidR="00E02BF7">
                    <w:rPr>
                      <w:sz w:val="24"/>
                      <w:szCs w:val="24"/>
                    </w:rPr>
                    <w:t>was an interactive session that focused</w:t>
                  </w:r>
                  <w:r w:rsidR="007305C5" w:rsidRPr="009B2381">
                    <w:rPr>
                      <w:sz w:val="24"/>
                      <w:szCs w:val="24"/>
                    </w:rPr>
                    <w:t xml:space="preserve"> on </w:t>
                  </w:r>
                  <w:r w:rsidR="0084376B" w:rsidRPr="009B2381">
                    <w:rPr>
                      <w:sz w:val="24"/>
                      <w:szCs w:val="24"/>
                    </w:rPr>
                    <w:t xml:space="preserve">financial planning and investment analysis.  </w:t>
                  </w:r>
                </w:p>
                <w:p w14:paraId="06F37DDD" w14:textId="77777777" w:rsidR="007305C5" w:rsidRPr="009B2381" w:rsidRDefault="007305C5" w:rsidP="00F952D2"/>
                <w:p w14:paraId="463032E5" w14:textId="0E117822" w:rsidR="0084376B" w:rsidRPr="009B2381" w:rsidRDefault="00355B03" w:rsidP="00F952D2">
                  <w:pPr>
                    <w:pStyle w:val="ListParagraph"/>
                    <w:numPr>
                      <w:ilvl w:val="0"/>
                      <w:numId w:val="13"/>
                    </w:numPr>
                    <w:spacing w:after="0"/>
                    <w:rPr>
                      <w:sz w:val="24"/>
                      <w:szCs w:val="24"/>
                    </w:rPr>
                  </w:pPr>
                  <w:r>
                    <w:rPr>
                      <w:b/>
                      <w:sz w:val="24"/>
                      <w:szCs w:val="24"/>
                    </w:rPr>
                    <w:t>Fall</w:t>
                  </w:r>
                  <w:r w:rsidR="007305C5" w:rsidRPr="009B2381">
                    <w:rPr>
                      <w:b/>
                      <w:sz w:val="24"/>
                      <w:szCs w:val="24"/>
                    </w:rPr>
                    <w:t xml:space="preserve"> 2017</w:t>
                  </w:r>
                  <w:r w:rsidR="007305C5" w:rsidRPr="009B2381">
                    <w:rPr>
                      <w:sz w:val="24"/>
                      <w:szCs w:val="24"/>
                    </w:rPr>
                    <w:t xml:space="preserve"> – </w:t>
                  </w:r>
                  <w:r w:rsidR="00C2658B">
                    <w:rPr>
                      <w:sz w:val="24"/>
                      <w:szCs w:val="24"/>
                    </w:rPr>
                    <w:t xml:space="preserve">Caltrans and the </w:t>
                  </w:r>
                  <w:r w:rsidR="001B097C">
                    <w:rPr>
                      <w:sz w:val="24"/>
                      <w:szCs w:val="24"/>
                    </w:rPr>
                    <w:t>CTC</w:t>
                  </w:r>
                  <w:r w:rsidR="00C2658B">
                    <w:rPr>
                      <w:sz w:val="24"/>
                      <w:szCs w:val="24"/>
                    </w:rPr>
                    <w:t xml:space="preserve"> are sponsoring a half day TAMP building workshop in Sacramento. </w:t>
                  </w:r>
                  <w:r w:rsidR="007305C5" w:rsidRPr="009B2381">
                    <w:rPr>
                      <w:sz w:val="24"/>
                      <w:szCs w:val="24"/>
                    </w:rPr>
                    <w:t xml:space="preserve"> </w:t>
                  </w:r>
                  <w:r w:rsidR="00C2658B">
                    <w:rPr>
                      <w:sz w:val="24"/>
                      <w:szCs w:val="24"/>
                    </w:rPr>
                    <w:t xml:space="preserve">External stakeholders will include </w:t>
                  </w:r>
                  <w:r w:rsidR="00C2658B" w:rsidRPr="009B2381">
                    <w:rPr>
                      <w:sz w:val="24"/>
                      <w:szCs w:val="24"/>
                    </w:rPr>
                    <w:t>MPO</w:t>
                  </w:r>
                  <w:r w:rsidR="00C2658B">
                    <w:rPr>
                      <w:sz w:val="24"/>
                      <w:szCs w:val="24"/>
                    </w:rPr>
                    <w:t>s</w:t>
                  </w:r>
                  <w:r w:rsidR="00C2658B" w:rsidRPr="009B2381">
                    <w:rPr>
                      <w:sz w:val="24"/>
                      <w:szCs w:val="24"/>
                    </w:rPr>
                    <w:t>, RTPA</w:t>
                  </w:r>
                  <w:r w:rsidR="00C2658B">
                    <w:rPr>
                      <w:sz w:val="24"/>
                      <w:szCs w:val="24"/>
                    </w:rPr>
                    <w:t xml:space="preserve">s, cities, counties, bicycle and pedestrian coalitions, </w:t>
                  </w:r>
                  <w:r w:rsidR="00B959CC">
                    <w:rPr>
                      <w:sz w:val="24"/>
                      <w:szCs w:val="24"/>
                    </w:rPr>
                    <w:t xml:space="preserve">tribal governments, </w:t>
                  </w:r>
                  <w:r w:rsidR="00C2658B">
                    <w:rPr>
                      <w:sz w:val="24"/>
                      <w:szCs w:val="24"/>
                    </w:rPr>
                    <w:t>as well as staff from FHWA.</w:t>
                  </w:r>
                  <w:r w:rsidR="007305C5" w:rsidRPr="009B2381">
                    <w:rPr>
                      <w:sz w:val="24"/>
                      <w:szCs w:val="24"/>
                    </w:rPr>
                    <w:t xml:space="preserve"> The expected outcome of this workshop will be a </w:t>
                  </w:r>
                  <w:r w:rsidR="00BD438A" w:rsidRPr="009B2381">
                    <w:rPr>
                      <w:sz w:val="24"/>
                      <w:szCs w:val="24"/>
                    </w:rPr>
                    <w:t>final TAMP</w:t>
                  </w:r>
                  <w:r w:rsidR="00C91E7B" w:rsidRPr="009B2381">
                    <w:rPr>
                      <w:sz w:val="24"/>
                      <w:szCs w:val="24"/>
                    </w:rPr>
                    <w:t xml:space="preserve"> that covers all NHS pavement and bridge assets in California as required by federal regulation.</w:t>
                  </w:r>
                </w:p>
                <w:p w14:paraId="421D4A17" w14:textId="77777777" w:rsidR="0084376B" w:rsidRPr="009B2381" w:rsidRDefault="0084376B" w:rsidP="00F952D2">
                  <w:pPr>
                    <w:ind w:left="360"/>
                  </w:pPr>
                </w:p>
                <w:p w14:paraId="0F6D7E2C" w14:textId="140EF333" w:rsidR="00355B03" w:rsidRPr="00355B03" w:rsidRDefault="00355B03" w:rsidP="0088502A">
                  <w:pPr>
                    <w:pStyle w:val="ListParagraph"/>
                    <w:numPr>
                      <w:ilvl w:val="0"/>
                      <w:numId w:val="13"/>
                    </w:numPr>
                    <w:spacing w:after="0"/>
                    <w:rPr>
                      <w:b/>
                      <w:sz w:val="24"/>
                      <w:szCs w:val="24"/>
                    </w:rPr>
                  </w:pPr>
                  <w:r w:rsidRPr="00355B03">
                    <w:rPr>
                      <w:b/>
                      <w:sz w:val="24"/>
                      <w:szCs w:val="24"/>
                    </w:rPr>
                    <w:t>October 2017</w:t>
                  </w:r>
                  <w:r w:rsidRPr="00355B03">
                    <w:rPr>
                      <w:sz w:val="24"/>
                      <w:szCs w:val="24"/>
                    </w:rPr>
                    <w:t xml:space="preserve"> – </w:t>
                  </w:r>
                  <w:r w:rsidR="006443C3">
                    <w:rPr>
                      <w:sz w:val="24"/>
                      <w:szCs w:val="24"/>
                    </w:rPr>
                    <w:t xml:space="preserve">Caltrans and the CTC will provide a </w:t>
                  </w:r>
                  <w:r w:rsidR="008625B3">
                    <w:rPr>
                      <w:sz w:val="24"/>
                      <w:szCs w:val="24"/>
                    </w:rPr>
                    <w:t>30-day c</w:t>
                  </w:r>
                  <w:r w:rsidRPr="00355B03">
                    <w:rPr>
                      <w:sz w:val="24"/>
                      <w:szCs w:val="24"/>
                    </w:rPr>
                    <w:t xml:space="preserve">omment period </w:t>
                  </w:r>
                  <w:r w:rsidR="006443C3">
                    <w:rPr>
                      <w:sz w:val="24"/>
                      <w:szCs w:val="24"/>
                    </w:rPr>
                    <w:t>f</w:t>
                  </w:r>
                  <w:r w:rsidR="008625B3">
                    <w:rPr>
                      <w:sz w:val="24"/>
                      <w:szCs w:val="24"/>
                    </w:rPr>
                    <w:t xml:space="preserve">or external stakeholders to review and comment on the </w:t>
                  </w:r>
                  <w:r w:rsidRPr="00355B03">
                    <w:rPr>
                      <w:sz w:val="24"/>
                      <w:szCs w:val="24"/>
                    </w:rPr>
                    <w:t>draft TAMP</w:t>
                  </w:r>
                  <w:r w:rsidR="008625B3">
                    <w:rPr>
                      <w:sz w:val="24"/>
                      <w:szCs w:val="24"/>
                    </w:rPr>
                    <w:t xml:space="preserve">.  The </w:t>
                  </w:r>
                  <w:r w:rsidR="006443C3">
                    <w:rPr>
                      <w:sz w:val="24"/>
                      <w:szCs w:val="24"/>
                    </w:rPr>
                    <w:t xml:space="preserve">draft TAMP will </w:t>
                  </w:r>
                  <w:r w:rsidR="008625B3">
                    <w:rPr>
                      <w:sz w:val="24"/>
                      <w:szCs w:val="24"/>
                    </w:rPr>
                    <w:t>be posted on the Caltrans Asset Management website and a link</w:t>
                  </w:r>
                  <w:r w:rsidR="006443C3">
                    <w:rPr>
                      <w:sz w:val="24"/>
                      <w:szCs w:val="24"/>
                    </w:rPr>
                    <w:t xml:space="preserve"> on how to access it will be se</w:t>
                  </w:r>
                  <w:r w:rsidR="008625B3">
                    <w:rPr>
                      <w:sz w:val="24"/>
                      <w:szCs w:val="24"/>
                    </w:rPr>
                    <w:t xml:space="preserve">nt to </w:t>
                  </w:r>
                  <w:r w:rsidR="006443C3">
                    <w:rPr>
                      <w:sz w:val="24"/>
                      <w:szCs w:val="24"/>
                    </w:rPr>
                    <w:t>external stakeholders.</w:t>
                  </w:r>
                </w:p>
                <w:p w14:paraId="456D4019" w14:textId="77777777" w:rsidR="00355B03" w:rsidRPr="00355B03" w:rsidRDefault="00355B03" w:rsidP="00355B03">
                  <w:pPr>
                    <w:pStyle w:val="ListParagraph"/>
                    <w:rPr>
                      <w:b/>
                      <w:sz w:val="24"/>
                      <w:szCs w:val="24"/>
                    </w:rPr>
                  </w:pPr>
                </w:p>
                <w:p w14:paraId="78B03875" w14:textId="77777777" w:rsidR="00E65E45" w:rsidRPr="009B2381" w:rsidRDefault="00E65E45" w:rsidP="00F952D2">
                  <w:pPr>
                    <w:pStyle w:val="ListParagraph"/>
                    <w:numPr>
                      <w:ilvl w:val="0"/>
                      <w:numId w:val="13"/>
                    </w:numPr>
                    <w:spacing w:after="0"/>
                    <w:rPr>
                      <w:sz w:val="24"/>
                      <w:szCs w:val="24"/>
                    </w:rPr>
                  </w:pPr>
                  <w:r w:rsidRPr="009B2381">
                    <w:rPr>
                      <w:b/>
                      <w:sz w:val="24"/>
                      <w:szCs w:val="24"/>
                    </w:rPr>
                    <w:t>Quarterly TAMAC Meetings</w:t>
                  </w:r>
                  <w:r w:rsidRPr="009B2381">
                    <w:rPr>
                      <w:sz w:val="24"/>
                      <w:szCs w:val="24"/>
                    </w:rPr>
                    <w:t xml:space="preserve"> – Caltrans also established a Transportation Asset Management Advisory Committee (TAMAC) comprised of MPO</w:t>
                  </w:r>
                  <w:r w:rsidR="00F67400">
                    <w:rPr>
                      <w:sz w:val="24"/>
                      <w:szCs w:val="24"/>
                    </w:rPr>
                    <w:t>s</w:t>
                  </w:r>
                  <w:r w:rsidRPr="009B2381">
                    <w:rPr>
                      <w:sz w:val="24"/>
                      <w:szCs w:val="24"/>
                    </w:rPr>
                    <w:t>, RTPA</w:t>
                  </w:r>
                  <w:r w:rsidR="00F67400">
                    <w:rPr>
                      <w:sz w:val="24"/>
                      <w:szCs w:val="24"/>
                    </w:rPr>
                    <w:t>s</w:t>
                  </w:r>
                  <w:r w:rsidRPr="009B2381">
                    <w:rPr>
                      <w:sz w:val="24"/>
                      <w:szCs w:val="24"/>
                    </w:rPr>
                    <w:t xml:space="preserve"> and advocacy groups.  The TAMAC is a standing committee that provides in</w:t>
                  </w:r>
                  <w:r w:rsidR="00F67400">
                    <w:rPr>
                      <w:sz w:val="24"/>
                      <w:szCs w:val="24"/>
                    </w:rPr>
                    <w:t>put on numerous aspects of the a</w:t>
                  </w:r>
                  <w:r w:rsidRPr="009B2381">
                    <w:rPr>
                      <w:sz w:val="24"/>
                      <w:szCs w:val="24"/>
                    </w:rPr>
                    <w:t>sset management implementation effort.</w:t>
                  </w:r>
                </w:p>
                <w:p w14:paraId="1B72D41F" w14:textId="77777777" w:rsidR="004172FE" w:rsidRPr="009B2381" w:rsidRDefault="004172FE" w:rsidP="00BB7690">
                  <w:pPr>
                    <w:ind w:left="270"/>
                  </w:pPr>
                </w:p>
                <w:p w14:paraId="1F40673B" w14:textId="77777777" w:rsidR="004172FE" w:rsidRPr="002F3F58" w:rsidRDefault="004172FE" w:rsidP="002F3F58">
                  <w:pPr>
                    <w:pStyle w:val="Heading2"/>
                    <w:rPr>
                      <w:lang w:val="fr-CA"/>
                    </w:rPr>
                  </w:pPr>
                  <w:r w:rsidRPr="002F3F58">
                    <w:rPr>
                      <w:lang w:val="fr-CA"/>
                    </w:rPr>
                    <w:t>Contact:</w:t>
                  </w:r>
                </w:p>
                <w:p w14:paraId="04C4FE3B" w14:textId="77777777" w:rsidR="004172FE" w:rsidRPr="002F3F58" w:rsidRDefault="004172FE" w:rsidP="00BB7690">
                  <w:pPr>
                    <w:rPr>
                      <w:lang w:val="fr-CA"/>
                    </w:rPr>
                  </w:pPr>
                  <w:r w:rsidRPr="002F3F58">
                    <w:rPr>
                      <w:lang w:val="fr-CA"/>
                    </w:rPr>
                    <w:t>Jennifer Duran</w:t>
                  </w:r>
                </w:p>
                <w:p w14:paraId="1459CEF7" w14:textId="5CFBB050" w:rsidR="004172FE" w:rsidRPr="002F3F58" w:rsidRDefault="004172FE" w:rsidP="00BB7690">
                  <w:pPr>
                    <w:rPr>
                      <w:lang w:val="fr-CA"/>
                    </w:rPr>
                  </w:pPr>
                  <w:r w:rsidRPr="002F3F58">
                    <w:rPr>
                      <w:lang w:val="fr-CA"/>
                    </w:rPr>
                    <w:t>Phone</w:t>
                  </w:r>
                  <w:proofErr w:type="gramStart"/>
                  <w:r w:rsidRPr="002F3F58">
                    <w:rPr>
                      <w:lang w:val="fr-CA"/>
                    </w:rPr>
                    <w:t xml:space="preserve">:  </w:t>
                  </w:r>
                  <w:r w:rsidR="00130BF9" w:rsidRPr="002F3F58">
                    <w:rPr>
                      <w:lang w:val="fr-CA"/>
                    </w:rPr>
                    <w:t>(</w:t>
                  </w:r>
                  <w:proofErr w:type="gramEnd"/>
                  <w:r w:rsidR="00130BF9" w:rsidRPr="002F3F58">
                    <w:rPr>
                      <w:lang w:val="fr-CA"/>
                    </w:rPr>
                    <w:t>916) 323-7746</w:t>
                  </w:r>
                </w:p>
                <w:p w14:paraId="76E8AD24" w14:textId="5759743E" w:rsidR="00F756F0" w:rsidRPr="002F3F58" w:rsidRDefault="004172FE" w:rsidP="002F3F58">
                  <w:pPr>
                    <w:rPr>
                      <w:lang w:val="fr-CA"/>
                    </w:rPr>
                  </w:pPr>
                  <w:r w:rsidRPr="002F3F58">
                    <w:rPr>
                      <w:lang w:val="fr-CA"/>
                    </w:rPr>
                    <w:t xml:space="preserve">Email:  </w:t>
                  </w:r>
                  <w:hyperlink r:id="rId10" w:history="1">
                    <w:r w:rsidR="009B2381" w:rsidRPr="002F3F58">
                      <w:rPr>
                        <w:rStyle w:val="Hyperlink"/>
                        <w:lang w:val="fr-CA"/>
                      </w:rPr>
                      <w:t>jennifer.duran@dot.ca.gov</w:t>
                    </w:r>
                  </w:hyperlink>
                  <w:bookmarkStart w:id="0" w:name="_GoBack"/>
                  <w:bookmarkEnd w:id="0"/>
                </w:p>
                <w:p w14:paraId="57473AFC" w14:textId="77777777" w:rsidR="002B4493" w:rsidRPr="002F3F58" w:rsidRDefault="002B4493" w:rsidP="00BD438A">
                  <w:pPr>
                    <w:ind w:left="630"/>
                    <w:rPr>
                      <w:lang w:val="fr-CA"/>
                    </w:rPr>
                  </w:pPr>
                </w:p>
              </w:tc>
              <w:tc>
                <w:tcPr>
                  <w:tcW w:w="29" w:type="dxa"/>
                </w:tcPr>
                <w:p w14:paraId="62AEA797" w14:textId="77777777" w:rsidR="00226F5C" w:rsidRPr="002F3F58" w:rsidRDefault="00226F5C">
                  <w:pPr>
                    <w:spacing w:after="240" w:line="259" w:lineRule="auto"/>
                    <w:rPr>
                      <w:lang w:val="fr-CA"/>
                    </w:rPr>
                  </w:pPr>
                </w:p>
              </w:tc>
            </w:tr>
          </w:tbl>
          <w:p w14:paraId="45BA53FA" w14:textId="77777777" w:rsidR="00604635" w:rsidRPr="002F3F58" w:rsidRDefault="00604635">
            <w:pPr>
              <w:rPr>
                <w:lang w:val="fr-CA"/>
              </w:rPr>
            </w:pPr>
          </w:p>
        </w:tc>
      </w:tr>
    </w:tbl>
    <w:p w14:paraId="2E0AD526" w14:textId="77777777" w:rsidR="002A1462" w:rsidRPr="002F3F58" w:rsidRDefault="002A1462" w:rsidP="00627D3F">
      <w:pPr>
        <w:rPr>
          <w:rFonts w:asciiTheme="majorHAnsi" w:eastAsiaTheme="majorEastAsia" w:hAnsiTheme="majorHAnsi" w:cstheme="majorBidi"/>
          <w:color w:val="487F81" w:themeColor="accent1"/>
          <w:sz w:val="28"/>
          <w:lang w:val="fr-CA"/>
        </w:rPr>
      </w:pPr>
    </w:p>
    <w:sectPr w:rsidR="002A1462" w:rsidRPr="002F3F58" w:rsidSect="00F952D2">
      <w:footerReference w:type="defaul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C66CB" w14:textId="77777777" w:rsidR="00C62546" w:rsidRDefault="00C62546">
      <w:pPr>
        <w:spacing w:after="0" w:line="240" w:lineRule="auto"/>
      </w:pPr>
      <w:r>
        <w:separator/>
      </w:r>
    </w:p>
  </w:endnote>
  <w:endnote w:type="continuationSeparator" w:id="0">
    <w:p w14:paraId="3B71D285" w14:textId="77777777" w:rsidR="00C62546" w:rsidRDefault="00C62546">
      <w:pPr>
        <w:spacing w:after="0" w:line="240" w:lineRule="auto"/>
      </w:pPr>
      <w:r>
        <w:continuationSeparator/>
      </w:r>
    </w:p>
  </w:endnote>
  <w:endnote w:type="continuationNotice" w:id="1">
    <w:p w14:paraId="32EB9E8B" w14:textId="77777777" w:rsidR="00C62546" w:rsidRDefault="00C62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10102FF" w:usb1="EAC7FFFF" w:usb2="08010012" w:usb3="00000000" w:csb0="0002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21575"/>
      <w:docPartObj>
        <w:docPartGallery w:val="Page Numbers (Bottom of Page)"/>
        <w:docPartUnique/>
      </w:docPartObj>
    </w:sdtPr>
    <w:sdtEndPr>
      <w:rPr>
        <w:noProof/>
      </w:rPr>
    </w:sdtEndPr>
    <w:sdtContent>
      <w:p w14:paraId="632441F0" w14:textId="37F03EE6" w:rsidR="001B097C" w:rsidRDefault="001B097C">
        <w:pPr>
          <w:pStyle w:val="Footer"/>
        </w:pPr>
        <w:r>
          <w:ptab w:relativeTo="margin" w:alignment="right" w:leader="none"/>
        </w:r>
        <w:r>
          <w:fldChar w:fldCharType="begin"/>
        </w:r>
        <w:r>
          <w:instrText xml:space="preserve"> PAGE   \* MERGEFORMAT </w:instrText>
        </w:r>
        <w:r>
          <w:fldChar w:fldCharType="separate"/>
        </w:r>
        <w:r w:rsidR="007C6569">
          <w:rPr>
            <w:noProof/>
          </w:rPr>
          <w:t>3</w:t>
        </w:r>
        <w:r>
          <w:rPr>
            <w:noProof/>
          </w:rPr>
          <w:fldChar w:fldCharType="end"/>
        </w:r>
      </w:p>
    </w:sdtContent>
  </w:sdt>
  <w:p w14:paraId="52FAD200" w14:textId="77777777" w:rsidR="003964FE" w:rsidRDefault="00396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F8058" w14:textId="77777777" w:rsidR="00C62546" w:rsidRDefault="00C62546">
      <w:pPr>
        <w:spacing w:after="0" w:line="240" w:lineRule="auto"/>
      </w:pPr>
      <w:r>
        <w:separator/>
      </w:r>
    </w:p>
  </w:footnote>
  <w:footnote w:type="continuationSeparator" w:id="0">
    <w:p w14:paraId="7A9A7EC9" w14:textId="77777777" w:rsidR="00C62546" w:rsidRDefault="00C62546">
      <w:pPr>
        <w:spacing w:after="0" w:line="240" w:lineRule="auto"/>
      </w:pPr>
      <w:r>
        <w:continuationSeparator/>
      </w:r>
    </w:p>
  </w:footnote>
  <w:footnote w:type="continuationNotice" w:id="1">
    <w:p w14:paraId="34A10DF9" w14:textId="77777777" w:rsidR="00C62546" w:rsidRDefault="00C625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4E1F"/>
    <w:multiLevelType w:val="hybridMultilevel"/>
    <w:tmpl w:val="9996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DC1667"/>
    <w:multiLevelType w:val="hybridMultilevel"/>
    <w:tmpl w:val="B082E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642E8"/>
    <w:multiLevelType w:val="hybridMultilevel"/>
    <w:tmpl w:val="00FA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F323BC"/>
    <w:multiLevelType w:val="hybridMultilevel"/>
    <w:tmpl w:val="3ADE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05637"/>
    <w:multiLevelType w:val="hybridMultilevel"/>
    <w:tmpl w:val="30AE0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61B38"/>
    <w:multiLevelType w:val="hybridMultilevel"/>
    <w:tmpl w:val="D2E65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5B6AD9"/>
    <w:multiLevelType w:val="hybridMultilevel"/>
    <w:tmpl w:val="B3CE71C8"/>
    <w:lvl w:ilvl="0" w:tplc="A9B2C696">
      <w:start w:val="1"/>
      <w:numFmt w:val="bullet"/>
      <w:lvlText w:val="–"/>
      <w:lvlJc w:val="left"/>
      <w:pPr>
        <w:tabs>
          <w:tab w:val="num" w:pos="720"/>
        </w:tabs>
        <w:ind w:left="720" w:hanging="360"/>
      </w:pPr>
      <w:rPr>
        <w:rFonts w:ascii="Arial" w:hAnsi="Arial" w:hint="default"/>
      </w:rPr>
    </w:lvl>
    <w:lvl w:ilvl="1" w:tplc="E5D8331E">
      <w:start w:val="1"/>
      <w:numFmt w:val="bullet"/>
      <w:lvlText w:val="–"/>
      <w:lvlJc w:val="left"/>
      <w:pPr>
        <w:tabs>
          <w:tab w:val="num" w:pos="1440"/>
        </w:tabs>
        <w:ind w:left="1440" w:hanging="360"/>
      </w:pPr>
      <w:rPr>
        <w:rFonts w:ascii="Arial" w:hAnsi="Arial" w:hint="default"/>
      </w:rPr>
    </w:lvl>
    <w:lvl w:ilvl="2" w:tplc="97C4B4C4" w:tentative="1">
      <w:start w:val="1"/>
      <w:numFmt w:val="bullet"/>
      <w:lvlText w:val="–"/>
      <w:lvlJc w:val="left"/>
      <w:pPr>
        <w:tabs>
          <w:tab w:val="num" w:pos="2160"/>
        </w:tabs>
        <w:ind w:left="2160" w:hanging="360"/>
      </w:pPr>
      <w:rPr>
        <w:rFonts w:ascii="Arial" w:hAnsi="Arial" w:hint="default"/>
      </w:rPr>
    </w:lvl>
    <w:lvl w:ilvl="3" w:tplc="5BA2CF60" w:tentative="1">
      <w:start w:val="1"/>
      <w:numFmt w:val="bullet"/>
      <w:lvlText w:val="–"/>
      <w:lvlJc w:val="left"/>
      <w:pPr>
        <w:tabs>
          <w:tab w:val="num" w:pos="2880"/>
        </w:tabs>
        <w:ind w:left="2880" w:hanging="360"/>
      </w:pPr>
      <w:rPr>
        <w:rFonts w:ascii="Arial" w:hAnsi="Arial" w:hint="default"/>
      </w:rPr>
    </w:lvl>
    <w:lvl w:ilvl="4" w:tplc="29806030" w:tentative="1">
      <w:start w:val="1"/>
      <w:numFmt w:val="bullet"/>
      <w:lvlText w:val="–"/>
      <w:lvlJc w:val="left"/>
      <w:pPr>
        <w:tabs>
          <w:tab w:val="num" w:pos="3600"/>
        </w:tabs>
        <w:ind w:left="3600" w:hanging="360"/>
      </w:pPr>
      <w:rPr>
        <w:rFonts w:ascii="Arial" w:hAnsi="Arial" w:hint="default"/>
      </w:rPr>
    </w:lvl>
    <w:lvl w:ilvl="5" w:tplc="6B32D32E" w:tentative="1">
      <w:start w:val="1"/>
      <w:numFmt w:val="bullet"/>
      <w:lvlText w:val="–"/>
      <w:lvlJc w:val="left"/>
      <w:pPr>
        <w:tabs>
          <w:tab w:val="num" w:pos="4320"/>
        </w:tabs>
        <w:ind w:left="4320" w:hanging="360"/>
      </w:pPr>
      <w:rPr>
        <w:rFonts w:ascii="Arial" w:hAnsi="Arial" w:hint="default"/>
      </w:rPr>
    </w:lvl>
    <w:lvl w:ilvl="6" w:tplc="46B62DC4" w:tentative="1">
      <w:start w:val="1"/>
      <w:numFmt w:val="bullet"/>
      <w:lvlText w:val="–"/>
      <w:lvlJc w:val="left"/>
      <w:pPr>
        <w:tabs>
          <w:tab w:val="num" w:pos="5040"/>
        </w:tabs>
        <w:ind w:left="5040" w:hanging="360"/>
      </w:pPr>
      <w:rPr>
        <w:rFonts w:ascii="Arial" w:hAnsi="Arial" w:hint="default"/>
      </w:rPr>
    </w:lvl>
    <w:lvl w:ilvl="7" w:tplc="36302566" w:tentative="1">
      <w:start w:val="1"/>
      <w:numFmt w:val="bullet"/>
      <w:lvlText w:val="–"/>
      <w:lvlJc w:val="left"/>
      <w:pPr>
        <w:tabs>
          <w:tab w:val="num" w:pos="5760"/>
        </w:tabs>
        <w:ind w:left="5760" w:hanging="360"/>
      </w:pPr>
      <w:rPr>
        <w:rFonts w:ascii="Arial" w:hAnsi="Arial" w:hint="default"/>
      </w:rPr>
    </w:lvl>
    <w:lvl w:ilvl="8" w:tplc="178805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994178"/>
    <w:multiLevelType w:val="hybridMultilevel"/>
    <w:tmpl w:val="9FE4A022"/>
    <w:lvl w:ilvl="0" w:tplc="A9B2C696">
      <w:start w:val="1"/>
      <w:numFmt w:val="bullet"/>
      <w:lvlText w:val="–"/>
      <w:lvlJc w:val="left"/>
      <w:pPr>
        <w:tabs>
          <w:tab w:val="num" w:pos="720"/>
        </w:tabs>
        <w:ind w:left="720" w:hanging="360"/>
      </w:pPr>
      <w:rPr>
        <w:rFonts w:ascii="Arial" w:hAnsi="Arial" w:hint="default"/>
      </w:rPr>
    </w:lvl>
    <w:lvl w:ilvl="1" w:tplc="0409000F">
      <w:start w:val="1"/>
      <w:numFmt w:val="decimal"/>
      <w:lvlText w:val="%2."/>
      <w:lvlJc w:val="left"/>
      <w:pPr>
        <w:tabs>
          <w:tab w:val="num" w:pos="1440"/>
        </w:tabs>
        <w:ind w:left="1440" w:hanging="360"/>
      </w:pPr>
      <w:rPr>
        <w:rFonts w:hint="default"/>
      </w:rPr>
    </w:lvl>
    <w:lvl w:ilvl="2" w:tplc="97C4B4C4" w:tentative="1">
      <w:start w:val="1"/>
      <w:numFmt w:val="bullet"/>
      <w:lvlText w:val="–"/>
      <w:lvlJc w:val="left"/>
      <w:pPr>
        <w:tabs>
          <w:tab w:val="num" w:pos="2160"/>
        </w:tabs>
        <w:ind w:left="2160" w:hanging="360"/>
      </w:pPr>
      <w:rPr>
        <w:rFonts w:ascii="Arial" w:hAnsi="Arial" w:hint="default"/>
      </w:rPr>
    </w:lvl>
    <w:lvl w:ilvl="3" w:tplc="5BA2CF60" w:tentative="1">
      <w:start w:val="1"/>
      <w:numFmt w:val="bullet"/>
      <w:lvlText w:val="–"/>
      <w:lvlJc w:val="left"/>
      <w:pPr>
        <w:tabs>
          <w:tab w:val="num" w:pos="2880"/>
        </w:tabs>
        <w:ind w:left="2880" w:hanging="360"/>
      </w:pPr>
      <w:rPr>
        <w:rFonts w:ascii="Arial" w:hAnsi="Arial" w:hint="default"/>
      </w:rPr>
    </w:lvl>
    <w:lvl w:ilvl="4" w:tplc="29806030" w:tentative="1">
      <w:start w:val="1"/>
      <w:numFmt w:val="bullet"/>
      <w:lvlText w:val="–"/>
      <w:lvlJc w:val="left"/>
      <w:pPr>
        <w:tabs>
          <w:tab w:val="num" w:pos="3600"/>
        </w:tabs>
        <w:ind w:left="3600" w:hanging="360"/>
      </w:pPr>
      <w:rPr>
        <w:rFonts w:ascii="Arial" w:hAnsi="Arial" w:hint="default"/>
      </w:rPr>
    </w:lvl>
    <w:lvl w:ilvl="5" w:tplc="6B32D32E" w:tentative="1">
      <w:start w:val="1"/>
      <w:numFmt w:val="bullet"/>
      <w:lvlText w:val="–"/>
      <w:lvlJc w:val="left"/>
      <w:pPr>
        <w:tabs>
          <w:tab w:val="num" w:pos="4320"/>
        </w:tabs>
        <w:ind w:left="4320" w:hanging="360"/>
      </w:pPr>
      <w:rPr>
        <w:rFonts w:ascii="Arial" w:hAnsi="Arial" w:hint="default"/>
      </w:rPr>
    </w:lvl>
    <w:lvl w:ilvl="6" w:tplc="46B62DC4" w:tentative="1">
      <w:start w:val="1"/>
      <w:numFmt w:val="bullet"/>
      <w:lvlText w:val="–"/>
      <w:lvlJc w:val="left"/>
      <w:pPr>
        <w:tabs>
          <w:tab w:val="num" w:pos="5040"/>
        </w:tabs>
        <w:ind w:left="5040" w:hanging="360"/>
      </w:pPr>
      <w:rPr>
        <w:rFonts w:ascii="Arial" w:hAnsi="Arial" w:hint="default"/>
      </w:rPr>
    </w:lvl>
    <w:lvl w:ilvl="7" w:tplc="36302566" w:tentative="1">
      <w:start w:val="1"/>
      <w:numFmt w:val="bullet"/>
      <w:lvlText w:val="–"/>
      <w:lvlJc w:val="left"/>
      <w:pPr>
        <w:tabs>
          <w:tab w:val="num" w:pos="5760"/>
        </w:tabs>
        <w:ind w:left="5760" w:hanging="360"/>
      </w:pPr>
      <w:rPr>
        <w:rFonts w:ascii="Arial" w:hAnsi="Arial" w:hint="default"/>
      </w:rPr>
    </w:lvl>
    <w:lvl w:ilvl="8" w:tplc="178805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602002A"/>
    <w:multiLevelType w:val="hybridMultilevel"/>
    <w:tmpl w:val="F816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55AE5"/>
    <w:multiLevelType w:val="hybridMultilevel"/>
    <w:tmpl w:val="3ADED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B72BD6"/>
    <w:multiLevelType w:val="hybridMultilevel"/>
    <w:tmpl w:val="FBEAF64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65B65593"/>
    <w:multiLevelType w:val="hybridMultilevel"/>
    <w:tmpl w:val="641E6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5C1945"/>
    <w:multiLevelType w:val="hybridMultilevel"/>
    <w:tmpl w:val="4340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30D17"/>
    <w:multiLevelType w:val="hybridMultilevel"/>
    <w:tmpl w:val="DFFE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8"/>
  </w:num>
  <w:num w:numId="4">
    <w:abstractNumId w:val="12"/>
  </w:num>
  <w:num w:numId="5">
    <w:abstractNumId w:val="4"/>
  </w:num>
  <w:num w:numId="6">
    <w:abstractNumId w:val="9"/>
  </w:num>
  <w:num w:numId="7">
    <w:abstractNumId w:val="3"/>
  </w:num>
  <w:num w:numId="8">
    <w:abstractNumId w:val="5"/>
  </w:num>
  <w:num w:numId="9">
    <w:abstractNumId w:val="6"/>
  </w:num>
  <w:num w:numId="10">
    <w:abstractNumId w:val="7"/>
  </w:num>
  <w:num w:numId="11">
    <w:abstractNumId w:val="2"/>
  </w:num>
  <w:num w:numId="12">
    <w:abstractNumId w:val="10"/>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F5C"/>
    <w:rsid w:val="00003BB2"/>
    <w:rsid w:val="00045CAF"/>
    <w:rsid w:val="00063EA6"/>
    <w:rsid w:val="00081AB1"/>
    <w:rsid w:val="000B331D"/>
    <w:rsid w:val="00104CAD"/>
    <w:rsid w:val="0010638B"/>
    <w:rsid w:val="00124E64"/>
    <w:rsid w:val="00130BF9"/>
    <w:rsid w:val="0015108D"/>
    <w:rsid w:val="00160467"/>
    <w:rsid w:val="0018496A"/>
    <w:rsid w:val="00192448"/>
    <w:rsid w:val="001A10D9"/>
    <w:rsid w:val="001B097C"/>
    <w:rsid w:val="001D52C6"/>
    <w:rsid w:val="00226F5C"/>
    <w:rsid w:val="00292095"/>
    <w:rsid w:val="002A1234"/>
    <w:rsid w:val="002A1462"/>
    <w:rsid w:val="002A1805"/>
    <w:rsid w:val="002A423C"/>
    <w:rsid w:val="002A7430"/>
    <w:rsid w:val="002B4493"/>
    <w:rsid w:val="002B7F4C"/>
    <w:rsid w:val="002C5950"/>
    <w:rsid w:val="002C61BA"/>
    <w:rsid w:val="002D1B80"/>
    <w:rsid w:val="002F3F58"/>
    <w:rsid w:val="00355B03"/>
    <w:rsid w:val="00361542"/>
    <w:rsid w:val="003964FE"/>
    <w:rsid w:val="003E2410"/>
    <w:rsid w:val="004172FE"/>
    <w:rsid w:val="004858A7"/>
    <w:rsid w:val="00496EC1"/>
    <w:rsid w:val="004B7941"/>
    <w:rsid w:val="004C7C14"/>
    <w:rsid w:val="004E6BCC"/>
    <w:rsid w:val="00500A3A"/>
    <w:rsid w:val="00511A19"/>
    <w:rsid w:val="00511BF5"/>
    <w:rsid w:val="00525A33"/>
    <w:rsid w:val="00531CF2"/>
    <w:rsid w:val="00567BEF"/>
    <w:rsid w:val="00580C80"/>
    <w:rsid w:val="005856CA"/>
    <w:rsid w:val="005C3893"/>
    <w:rsid w:val="005C6E15"/>
    <w:rsid w:val="005F7AA7"/>
    <w:rsid w:val="00604635"/>
    <w:rsid w:val="00617114"/>
    <w:rsid w:val="006214DD"/>
    <w:rsid w:val="00627D3F"/>
    <w:rsid w:val="006443C3"/>
    <w:rsid w:val="00692878"/>
    <w:rsid w:val="006A6D62"/>
    <w:rsid w:val="006A71A7"/>
    <w:rsid w:val="006C4C42"/>
    <w:rsid w:val="006C7843"/>
    <w:rsid w:val="006D53E7"/>
    <w:rsid w:val="006E339C"/>
    <w:rsid w:val="007231AC"/>
    <w:rsid w:val="007305C5"/>
    <w:rsid w:val="0074527B"/>
    <w:rsid w:val="0075589C"/>
    <w:rsid w:val="00792B45"/>
    <w:rsid w:val="007C40CF"/>
    <w:rsid w:val="007C6569"/>
    <w:rsid w:val="008033AB"/>
    <w:rsid w:val="0082401A"/>
    <w:rsid w:val="0082610F"/>
    <w:rsid w:val="00834759"/>
    <w:rsid w:val="0084376B"/>
    <w:rsid w:val="00846C30"/>
    <w:rsid w:val="008625B3"/>
    <w:rsid w:val="00873AE3"/>
    <w:rsid w:val="00880B57"/>
    <w:rsid w:val="008A2106"/>
    <w:rsid w:val="008A730D"/>
    <w:rsid w:val="008D1695"/>
    <w:rsid w:val="008D4906"/>
    <w:rsid w:val="008E493D"/>
    <w:rsid w:val="00901B88"/>
    <w:rsid w:val="00957FCF"/>
    <w:rsid w:val="009807E3"/>
    <w:rsid w:val="009A34A4"/>
    <w:rsid w:val="009A7D55"/>
    <w:rsid w:val="009B2381"/>
    <w:rsid w:val="009B4D15"/>
    <w:rsid w:val="009D1E3A"/>
    <w:rsid w:val="00A17C58"/>
    <w:rsid w:val="00A23F1A"/>
    <w:rsid w:val="00A4297B"/>
    <w:rsid w:val="00A472B2"/>
    <w:rsid w:val="00A720CB"/>
    <w:rsid w:val="00A758F2"/>
    <w:rsid w:val="00A83F67"/>
    <w:rsid w:val="00A91E90"/>
    <w:rsid w:val="00A93821"/>
    <w:rsid w:val="00AA1CCC"/>
    <w:rsid w:val="00AA530F"/>
    <w:rsid w:val="00AB055A"/>
    <w:rsid w:val="00AF5E1F"/>
    <w:rsid w:val="00B5158C"/>
    <w:rsid w:val="00B76BC7"/>
    <w:rsid w:val="00B91A67"/>
    <w:rsid w:val="00B959CC"/>
    <w:rsid w:val="00BB7690"/>
    <w:rsid w:val="00BC2AE0"/>
    <w:rsid w:val="00BD438A"/>
    <w:rsid w:val="00BD4842"/>
    <w:rsid w:val="00C252AB"/>
    <w:rsid w:val="00C2658B"/>
    <w:rsid w:val="00C504B0"/>
    <w:rsid w:val="00C54034"/>
    <w:rsid w:val="00C62546"/>
    <w:rsid w:val="00C703D5"/>
    <w:rsid w:val="00C90DAC"/>
    <w:rsid w:val="00C91E7B"/>
    <w:rsid w:val="00C96802"/>
    <w:rsid w:val="00CA3170"/>
    <w:rsid w:val="00CF1AAE"/>
    <w:rsid w:val="00D31CC9"/>
    <w:rsid w:val="00D43501"/>
    <w:rsid w:val="00D91F8B"/>
    <w:rsid w:val="00D94C48"/>
    <w:rsid w:val="00DD2A6F"/>
    <w:rsid w:val="00DD674C"/>
    <w:rsid w:val="00DE4A54"/>
    <w:rsid w:val="00E02BF7"/>
    <w:rsid w:val="00E202D2"/>
    <w:rsid w:val="00E228FA"/>
    <w:rsid w:val="00E609F8"/>
    <w:rsid w:val="00E65E45"/>
    <w:rsid w:val="00EB00D4"/>
    <w:rsid w:val="00EB2D43"/>
    <w:rsid w:val="00EF01F2"/>
    <w:rsid w:val="00F176B5"/>
    <w:rsid w:val="00F432F3"/>
    <w:rsid w:val="00F67400"/>
    <w:rsid w:val="00F7505B"/>
    <w:rsid w:val="00F756F0"/>
    <w:rsid w:val="00F91863"/>
    <w:rsid w:val="00F92631"/>
    <w:rsid w:val="00F952D2"/>
    <w:rsid w:val="00FD2DE8"/>
    <w:rsid w:val="00F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DD154"/>
  <w15:chartTrackingRefBased/>
  <w15:docId w15:val="{2721258F-D63D-4DA2-BA9A-C5413219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2F3F58"/>
    <w:pPr>
      <w:ind w:right="90"/>
      <w:outlineLvl w:val="0"/>
    </w:pPr>
    <w:rPr>
      <w:color w:val="595959" w:themeColor="text1" w:themeTint="A6"/>
      <w:sz w:val="44"/>
      <w:szCs w:val="44"/>
      <w:lang w:val="fr-CA"/>
    </w:rPr>
  </w:style>
  <w:style w:type="paragraph" w:styleId="Heading2">
    <w:name w:val="heading 2"/>
    <w:basedOn w:val="Heading3"/>
    <w:next w:val="Normal"/>
    <w:link w:val="Heading2Char"/>
    <w:uiPriority w:val="9"/>
    <w:unhideWhenUsed/>
    <w:qFormat/>
    <w:rsid w:val="002F3F58"/>
    <w:pPr>
      <w:spacing w:before="0"/>
      <w:ind w:right="90"/>
      <w:outlineLvl w:val="1"/>
    </w:pPr>
    <w:rPr>
      <w:b/>
      <w:color w:val="auto"/>
      <w:sz w:val="24"/>
      <w:u w:val="single"/>
    </w:rPr>
  </w:style>
  <w:style w:type="paragraph" w:styleId="Heading3">
    <w:name w:val="heading 3"/>
    <w:basedOn w:val="Normal"/>
    <w:next w:val="Normal"/>
    <w:link w:val="Heading3Char"/>
    <w:uiPriority w:val="9"/>
    <w:unhideWhenUsed/>
    <w:qFormat/>
    <w:pPr>
      <w:keepNext/>
      <w:keepLines/>
      <w:spacing w:before="360" w:after="0" w:line="240" w:lineRule="auto"/>
      <w:outlineLvl w:val="2"/>
    </w:pPr>
    <w:rPr>
      <w:rFonts w:asciiTheme="majorHAnsi" w:eastAsiaTheme="majorEastAsia" w:hAnsiTheme="majorHAnsi" w:cstheme="majorBidi"/>
      <w:color w:val="487F81" w:themeColor="accent1"/>
      <w:sz w:val="28"/>
    </w:rPr>
  </w:style>
  <w:style w:type="paragraph" w:styleId="Heading4">
    <w:name w:val="heading 4"/>
    <w:basedOn w:val="Normal"/>
    <w:next w:val="Normal"/>
    <w:link w:val="Heading4Char"/>
    <w:uiPriority w:val="9"/>
    <w:unhideWhenUsed/>
    <w:qFormat/>
    <w:pPr>
      <w:keepNext/>
      <w:keepLines/>
      <w:spacing w:after="0" w:line="240" w:lineRule="auto"/>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E6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87F81" w:themeColor="accent1"/>
      <w:spacing w:val="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2"/>
    <w:qFormat/>
    <w:pPr>
      <w:numPr>
        <w:ilvl w:val="1"/>
      </w:numPr>
      <w:pBdr>
        <w:top w:val="single" w:sz="8" w:space="6" w:color="365E60" w:themeColor="accent1" w:themeShade="BF"/>
        <w:bottom w:val="single" w:sz="8" w:space="6" w:color="365E60" w:themeColor="accent1" w:themeShade="BF"/>
      </w:pBdr>
      <w:spacing w:before="240" w:line="240" w:lineRule="auto"/>
      <w:ind w:left="288" w:right="288"/>
      <w:contextualSpacing/>
      <w:jc w:val="center"/>
    </w:pPr>
    <w:rPr>
      <w:caps/>
      <w:color w:val="365E60" w:themeColor="accent1" w:themeShade="BF"/>
      <w:sz w:val="42"/>
      <w:szCs w:val="22"/>
    </w:rPr>
  </w:style>
  <w:style w:type="paragraph" w:styleId="Title">
    <w:name w:val="Title"/>
    <w:basedOn w:val="Normal"/>
    <w:link w:val="TitleChar"/>
    <w:uiPriority w:val="1"/>
    <w:qFormat/>
    <w:pPr>
      <w:spacing w:before="240" w:line="240" w:lineRule="auto"/>
      <w:contextualSpacing/>
      <w:jc w:val="center"/>
    </w:pPr>
    <w:rPr>
      <w:rFonts w:asciiTheme="majorHAnsi" w:eastAsiaTheme="majorEastAsia" w:hAnsiTheme="majorHAnsi" w:cstheme="majorBidi"/>
      <w:caps/>
      <w:color w:val="FFFFFF" w:themeColor="background1"/>
      <w:kern w:val="28"/>
      <w:sz w:val="88"/>
      <w:szCs w:val="56"/>
    </w:rPr>
  </w:style>
  <w:style w:type="character" w:customStyle="1" w:styleId="TitleChar">
    <w:name w:val="Title Char"/>
    <w:basedOn w:val="DefaultParagraphFont"/>
    <w:link w:val="Title"/>
    <w:uiPriority w:val="1"/>
    <w:rPr>
      <w:rFonts w:asciiTheme="majorHAnsi" w:eastAsiaTheme="majorEastAsia" w:hAnsiTheme="majorHAnsi" w:cstheme="majorBidi"/>
      <w:caps/>
      <w:color w:val="FFFFFF" w:themeColor="background1"/>
      <w:kern w:val="28"/>
      <w:sz w:val="88"/>
      <w:szCs w:val="56"/>
    </w:rPr>
  </w:style>
  <w:style w:type="character" w:customStyle="1" w:styleId="SubtitleChar">
    <w:name w:val="Subtitle Char"/>
    <w:basedOn w:val="DefaultParagraphFont"/>
    <w:link w:val="Subtitle"/>
    <w:uiPriority w:val="2"/>
    <w:rPr>
      <w:caps/>
      <w:color w:val="365E60" w:themeColor="accent1" w:themeShade="BF"/>
      <w:sz w:val="42"/>
      <w:szCs w:val="22"/>
    </w:rPr>
  </w:style>
  <w:style w:type="character" w:customStyle="1" w:styleId="Heading1Char">
    <w:name w:val="Heading 1 Char"/>
    <w:basedOn w:val="DefaultParagraphFont"/>
    <w:link w:val="Heading1"/>
    <w:uiPriority w:val="9"/>
    <w:rsid w:val="002F3F58"/>
    <w:rPr>
      <w:rFonts w:asciiTheme="majorHAnsi" w:eastAsiaTheme="majorEastAsia" w:hAnsiTheme="majorHAnsi" w:cstheme="majorBidi"/>
      <w:caps/>
      <w:color w:val="595959" w:themeColor="text1" w:themeTint="A6"/>
      <w:kern w:val="28"/>
      <w:sz w:val="44"/>
      <w:szCs w:val="44"/>
      <w:lang w:val="fr-CA"/>
    </w:rPr>
  </w:style>
  <w:style w:type="character" w:styleId="PlaceholderText">
    <w:name w:val="Placeholder Text"/>
    <w:basedOn w:val="DefaultParagraphFont"/>
    <w:uiPriority w:val="99"/>
    <w:semiHidden/>
    <w:rPr>
      <w:color w:val="808080"/>
    </w:rPr>
  </w:style>
  <w:style w:type="character" w:customStyle="1" w:styleId="Heading2Char">
    <w:name w:val="Heading 2 Char"/>
    <w:basedOn w:val="DefaultParagraphFont"/>
    <w:link w:val="Heading2"/>
    <w:uiPriority w:val="9"/>
    <w:rsid w:val="002F3F58"/>
    <w:rPr>
      <w:rFonts w:asciiTheme="majorHAnsi" w:eastAsiaTheme="majorEastAsia" w:hAnsiTheme="majorHAnsi" w:cstheme="majorBidi"/>
      <w:b/>
      <w:u w:val="single"/>
    </w:rPr>
  </w:style>
  <w:style w:type="paragraph" w:styleId="Quote">
    <w:name w:val="Quote"/>
    <w:basedOn w:val="Normal"/>
    <w:next w:val="Normal"/>
    <w:link w:val="QuoteChar"/>
    <w:uiPriority w:val="29"/>
    <w:semiHidden/>
    <w:unhideWhenUsed/>
    <w:qFormat/>
    <w:pPr>
      <w:spacing w:before="200" w:after="16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487F81" w:themeColor="accent1"/>
        <w:bottom w:val="single" w:sz="4" w:space="10" w:color="487F81" w:themeColor="accent1"/>
      </w:pBdr>
      <w:spacing w:before="360" w:after="360"/>
    </w:pPr>
    <w:rPr>
      <w:i/>
      <w:iCs/>
      <w:color w:val="487F81" w:themeColor="accent1"/>
    </w:rPr>
  </w:style>
  <w:style w:type="character" w:customStyle="1" w:styleId="IntenseQuoteChar">
    <w:name w:val="Intense Quote Char"/>
    <w:basedOn w:val="DefaultParagraphFont"/>
    <w:link w:val="IntenseQuote"/>
    <w:uiPriority w:val="30"/>
    <w:semiHidden/>
    <w:rPr>
      <w:i/>
      <w:iCs/>
      <w:color w:val="487F81" w:themeColor="accent1"/>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487F81" w:themeColor="accent1"/>
      <w:sz w:val="28"/>
    </w:rPr>
  </w:style>
  <w:style w:type="character" w:customStyle="1" w:styleId="Heading4Char">
    <w:name w:val="Heading 4 Char"/>
    <w:basedOn w:val="DefaultParagraphFont"/>
    <w:link w:val="Heading4"/>
    <w:uiPriority w:val="9"/>
    <w:rPr>
      <w:rFonts w:asciiTheme="majorHAnsi" w:eastAsiaTheme="majorEastAsia" w:hAnsiTheme="majorHAnsi" w:cstheme="majorBidi"/>
      <w:iCs/>
      <w:sz w:val="2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E60" w:themeColor="accent1" w:themeShade="BF"/>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customStyle="1" w:styleId="ContactInfo">
    <w:name w:val="Contact Info"/>
    <w:basedOn w:val="Normal"/>
    <w:next w:val="Normal"/>
    <w:uiPriority w:val="12"/>
    <w:qFormat/>
    <w:pPr>
      <w:spacing w:before="360" w:after="0" w:line="240" w:lineRule="auto"/>
    </w:pPr>
    <w:rPr>
      <w:sz w:val="32"/>
    </w:rPr>
  </w:style>
  <w:style w:type="paragraph" w:customStyle="1" w:styleId="Phone">
    <w:name w:val="Phone"/>
    <w:basedOn w:val="Normal"/>
    <w:next w:val="Normal"/>
    <w:uiPriority w:val="13"/>
    <w:qFormat/>
    <w:pPr>
      <w:spacing w:after="0" w:line="240" w:lineRule="auto"/>
    </w:pPr>
    <w:rPr>
      <w:sz w:val="36"/>
    </w:rPr>
  </w:style>
  <w:style w:type="paragraph" w:styleId="TOCHeading">
    <w:name w:val="TOC Heading"/>
    <w:basedOn w:val="Heading1"/>
    <w:next w:val="Normal"/>
    <w:uiPriority w:val="39"/>
    <w:semiHidden/>
    <w:unhideWhenUsed/>
    <w:qFormat/>
    <w:pPr>
      <w:outlineLvl w:val="9"/>
    </w:pPr>
  </w:style>
  <w:style w:type="paragraph" w:styleId="ListParagraph">
    <w:name w:val="List Paragraph"/>
    <w:basedOn w:val="Normal"/>
    <w:uiPriority w:val="34"/>
    <w:qFormat/>
    <w:rsid w:val="00226F5C"/>
    <w:pPr>
      <w:spacing w:after="160"/>
      <w:ind w:left="720"/>
      <w:contextualSpacing/>
    </w:pPr>
    <w:rPr>
      <w:rFonts w:eastAsiaTheme="minorHAnsi"/>
      <w:sz w:val="22"/>
      <w:szCs w:val="22"/>
      <w:lang w:eastAsia="en-US"/>
    </w:rPr>
  </w:style>
  <w:style w:type="paragraph" w:styleId="BalloonText">
    <w:name w:val="Balloon Text"/>
    <w:basedOn w:val="Normal"/>
    <w:link w:val="BalloonTextChar"/>
    <w:uiPriority w:val="99"/>
    <w:semiHidden/>
    <w:unhideWhenUsed/>
    <w:rsid w:val="00226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5C"/>
    <w:rPr>
      <w:rFonts w:ascii="Segoe UI" w:hAnsi="Segoe UI" w:cs="Segoe UI"/>
      <w:sz w:val="18"/>
      <w:szCs w:val="18"/>
    </w:rPr>
  </w:style>
  <w:style w:type="paragraph" w:styleId="NormalWeb">
    <w:name w:val="Normal (Web)"/>
    <w:basedOn w:val="Normal"/>
    <w:uiPriority w:val="99"/>
    <w:semiHidden/>
    <w:unhideWhenUsed/>
    <w:rsid w:val="00C90DAC"/>
    <w:pPr>
      <w:spacing w:before="100" w:beforeAutospacing="1" w:after="100" w:afterAutospacing="1" w:line="240" w:lineRule="auto"/>
    </w:pPr>
    <w:rPr>
      <w:rFonts w:ascii="Times New Roman" w:hAnsi="Times New Roman" w:cs="Times New Roman"/>
      <w:lang w:eastAsia="en-US"/>
    </w:rPr>
  </w:style>
  <w:style w:type="paragraph" w:styleId="HTMLPreformatted">
    <w:name w:val="HTML Preformatted"/>
    <w:basedOn w:val="Normal"/>
    <w:link w:val="HTMLPreformattedChar"/>
    <w:uiPriority w:val="99"/>
    <w:unhideWhenUsed/>
    <w:rsid w:val="002B4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2B4493"/>
    <w:rPr>
      <w:rFonts w:ascii="Courier New" w:eastAsia="Times New Roman" w:hAnsi="Courier New" w:cs="Courier New"/>
      <w:sz w:val="20"/>
      <w:szCs w:val="20"/>
      <w:lang w:eastAsia="en-US"/>
    </w:rPr>
  </w:style>
  <w:style w:type="paragraph" w:customStyle="1" w:styleId="Default">
    <w:name w:val="Default"/>
    <w:rsid w:val="00A720CB"/>
    <w:pPr>
      <w:autoSpaceDE w:val="0"/>
      <w:autoSpaceDN w:val="0"/>
      <w:adjustRightInd w:val="0"/>
      <w:spacing w:after="0" w:line="240" w:lineRule="auto"/>
    </w:pPr>
    <w:rPr>
      <w:rFonts w:ascii="Times New Roman" w:hAnsi="Times New Roman" w:cs="Times New Roman"/>
      <w:color w:val="000000"/>
    </w:rPr>
  </w:style>
  <w:style w:type="paragraph" w:customStyle="1" w:styleId="CM9">
    <w:name w:val="CM9"/>
    <w:basedOn w:val="Default"/>
    <w:next w:val="Default"/>
    <w:uiPriority w:val="99"/>
    <w:rsid w:val="00A720CB"/>
    <w:pPr>
      <w:spacing w:line="360" w:lineRule="atLeast"/>
    </w:pPr>
    <w:rPr>
      <w:color w:val="auto"/>
    </w:rPr>
  </w:style>
  <w:style w:type="character" w:styleId="Emphasis">
    <w:name w:val="Emphasis"/>
    <w:basedOn w:val="DefaultParagraphFont"/>
    <w:uiPriority w:val="20"/>
    <w:qFormat/>
    <w:rsid w:val="00846C30"/>
    <w:rPr>
      <w:i/>
      <w:iCs/>
    </w:rPr>
  </w:style>
  <w:style w:type="character" w:styleId="Hyperlink">
    <w:name w:val="Hyperlink"/>
    <w:basedOn w:val="DefaultParagraphFont"/>
    <w:uiPriority w:val="99"/>
    <w:unhideWhenUsed/>
    <w:rsid w:val="009B2381"/>
    <w:rPr>
      <w:color w:val="0563C1" w:themeColor="hyperlink"/>
      <w:u w:val="single"/>
    </w:rPr>
  </w:style>
  <w:style w:type="character" w:styleId="CommentReference">
    <w:name w:val="annotation reference"/>
    <w:basedOn w:val="DefaultParagraphFont"/>
    <w:uiPriority w:val="99"/>
    <w:semiHidden/>
    <w:unhideWhenUsed/>
    <w:rsid w:val="0082610F"/>
    <w:rPr>
      <w:sz w:val="16"/>
      <w:szCs w:val="16"/>
    </w:rPr>
  </w:style>
  <w:style w:type="paragraph" w:styleId="CommentText">
    <w:name w:val="annotation text"/>
    <w:basedOn w:val="Normal"/>
    <w:link w:val="CommentTextChar"/>
    <w:uiPriority w:val="99"/>
    <w:semiHidden/>
    <w:unhideWhenUsed/>
    <w:rsid w:val="0082610F"/>
    <w:pPr>
      <w:spacing w:line="240" w:lineRule="auto"/>
    </w:pPr>
    <w:rPr>
      <w:sz w:val="20"/>
      <w:szCs w:val="20"/>
    </w:rPr>
  </w:style>
  <w:style w:type="character" w:customStyle="1" w:styleId="CommentTextChar">
    <w:name w:val="Comment Text Char"/>
    <w:basedOn w:val="DefaultParagraphFont"/>
    <w:link w:val="CommentText"/>
    <w:uiPriority w:val="99"/>
    <w:semiHidden/>
    <w:rsid w:val="0082610F"/>
    <w:rPr>
      <w:sz w:val="20"/>
      <w:szCs w:val="20"/>
    </w:rPr>
  </w:style>
  <w:style w:type="paragraph" w:styleId="CommentSubject">
    <w:name w:val="annotation subject"/>
    <w:basedOn w:val="CommentText"/>
    <w:next w:val="CommentText"/>
    <w:link w:val="CommentSubjectChar"/>
    <w:uiPriority w:val="99"/>
    <w:semiHidden/>
    <w:unhideWhenUsed/>
    <w:rsid w:val="0082610F"/>
    <w:rPr>
      <w:b/>
      <w:bCs/>
    </w:rPr>
  </w:style>
  <w:style w:type="character" w:customStyle="1" w:styleId="CommentSubjectChar">
    <w:name w:val="Comment Subject Char"/>
    <w:basedOn w:val="CommentTextChar"/>
    <w:link w:val="CommentSubject"/>
    <w:uiPriority w:val="99"/>
    <w:semiHidden/>
    <w:rsid w:val="0082610F"/>
    <w:rPr>
      <w:b/>
      <w:bCs/>
      <w:sz w:val="20"/>
      <w:szCs w:val="20"/>
    </w:rPr>
  </w:style>
  <w:style w:type="paragraph" w:styleId="Revision">
    <w:name w:val="Revision"/>
    <w:hidden/>
    <w:uiPriority w:val="99"/>
    <w:semiHidden/>
    <w:rsid w:val="009A34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6347">
      <w:bodyDiv w:val="1"/>
      <w:marLeft w:val="0"/>
      <w:marRight w:val="0"/>
      <w:marTop w:val="0"/>
      <w:marBottom w:val="0"/>
      <w:divBdr>
        <w:top w:val="none" w:sz="0" w:space="0" w:color="auto"/>
        <w:left w:val="none" w:sz="0" w:space="0" w:color="auto"/>
        <w:bottom w:val="none" w:sz="0" w:space="0" w:color="auto"/>
        <w:right w:val="none" w:sz="0" w:space="0" w:color="auto"/>
      </w:divBdr>
    </w:div>
    <w:div w:id="1179808006">
      <w:bodyDiv w:val="1"/>
      <w:marLeft w:val="0"/>
      <w:marRight w:val="0"/>
      <w:marTop w:val="0"/>
      <w:marBottom w:val="0"/>
      <w:divBdr>
        <w:top w:val="none" w:sz="0" w:space="0" w:color="auto"/>
        <w:left w:val="none" w:sz="0" w:space="0" w:color="auto"/>
        <w:bottom w:val="none" w:sz="0" w:space="0" w:color="auto"/>
        <w:right w:val="none" w:sz="0" w:space="0" w:color="auto"/>
      </w:divBdr>
      <w:divsChild>
        <w:div w:id="436022207">
          <w:marLeft w:val="1166"/>
          <w:marRight w:val="0"/>
          <w:marTop w:val="96"/>
          <w:marBottom w:val="0"/>
          <w:divBdr>
            <w:top w:val="none" w:sz="0" w:space="0" w:color="auto"/>
            <w:left w:val="none" w:sz="0" w:space="0" w:color="auto"/>
            <w:bottom w:val="none" w:sz="0" w:space="0" w:color="auto"/>
            <w:right w:val="none" w:sz="0" w:space="0" w:color="auto"/>
          </w:divBdr>
        </w:div>
        <w:div w:id="1890416651">
          <w:marLeft w:val="1166"/>
          <w:marRight w:val="0"/>
          <w:marTop w:val="96"/>
          <w:marBottom w:val="0"/>
          <w:divBdr>
            <w:top w:val="none" w:sz="0" w:space="0" w:color="auto"/>
            <w:left w:val="none" w:sz="0" w:space="0" w:color="auto"/>
            <w:bottom w:val="none" w:sz="0" w:space="0" w:color="auto"/>
            <w:right w:val="none" w:sz="0" w:space="0" w:color="auto"/>
          </w:divBdr>
        </w:div>
        <w:div w:id="1122072875">
          <w:marLeft w:val="1166"/>
          <w:marRight w:val="0"/>
          <w:marTop w:val="96"/>
          <w:marBottom w:val="0"/>
          <w:divBdr>
            <w:top w:val="none" w:sz="0" w:space="0" w:color="auto"/>
            <w:left w:val="none" w:sz="0" w:space="0" w:color="auto"/>
            <w:bottom w:val="none" w:sz="0" w:space="0" w:color="auto"/>
            <w:right w:val="none" w:sz="0" w:space="0" w:color="auto"/>
          </w:divBdr>
        </w:div>
        <w:div w:id="2058779614">
          <w:marLeft w:val="1166"/>
          <w:marRight w:val="0"/>
          <w:marTop w:val="96"/>
          <w:marBottom w:val="0"/>
          <w:divBdr>
            <w:top w:val="none" w:sz="0" w:space="0" w:color="auto"/>
            <w:left w:val="none" w:sz="0" w:space="0" w:color="auto"/>
            <w:bottom w:val="none" w:sz="0" w:space="0" w:color="auto"/>
            <w:right w:val="none" w:sz="0" w:space="0" w:color="auto"/>
          </w:divBdr>
        </w:div>
        <w:div w:id="1946887722">
          <w:marLeft w:val="1166"/>
          <w:marRight w:val="0"/>
          <w:marTop w:val="96"/>
          <w:marBottom w:val="0"/>
          <w:divBdr>
            <w:top w:val="none" w:sz="0" w:space="0" w:color="auto"/>
            <w:left w:val="none" w:sz="0" w:space="0" w:color="auto"/>
            <w:bottom w:val="none" w:sz="0" w:space="0" w:color="auto"/>
            <w:right w:val="none" w:sz="0" w:space="0" w:color="auto"/>
          </w:divBdr>
        </w:div>
        <w:div w:id="127287018">
          <w:marLeft w:val="1166"/>
          <w:marRight w:val="0"/>
          <w:marTop w:val="96"/>
          <w:marBottom w:val="0"/>
          <w:divBdr>
            <w:top w:val="none" w:sz="0" w:space="0" w:color="auto"/>
            <w:left w:val="none" w:sz="0" w:space="0" w:color="auto"/>
            <w:bottom w:val="none" w:sz="0" w:space="0" w:color="auto"/>
            <w:right w:val="none" w:sz="0" w:space="0" w:color="auto"/>
          </w:divBdr>
        </w:div>
        <w:div w:id="929658323">
          <w:marLeft w:val="1166"/>
          <w:marRight w:val="0"/>
          <w:marTop w:val="96"/>
          <w:marBottom w:val="0"/>
          <w:divBdr>
            <w:top w:val="none" w:sz="0" w:space="0" w:color="auto"/>
            <w:left w:val="none" w:sz="0" w:space="0" w:color="auto"/>
            <w:bottom w:val="none" w:sz="0" w:space="0" w:color="auto"/>
            <w:right w:val="none" w:sz="0" w:space="0" w:color="auto"/>
          </w:divBdr>
        </w:div>
      </w:divsChild>
    </w:div>
    <w:div w:id="1460341290">
      <w:bodyDiv w:val="1"/>
      <w:marLeft w:val="0"/>
      <w:marRight w:val="0"/>
      <w:marTop w:val="0"/>
      <w:marBottom w:val="0"/>
      <w:divBdr>
        <w:top w:val="none" w:sz="0" w:space="0" w:color="auto"/>
        <w:left w:val="none" w:sz="0" w:space="0" w:color="auto"/>
        <w:bottom w:val="none" w:sz="0" w:space="0" w:color="auto"/>
        <w:right w:val="none" w:sz="0" w:space="0" w:color="auto"/>
      </w:divBdr>
    </w:div>
    <w:div w:id="1481342360">
      <w:bodyDiv w:val="1"/>
      <w:marLeft w:val="0"/>
      <w:marRight w:val="0"/>
      <w:marTop w:val="0"/>
      <w:marBottom w:val="0"/>
      <w:divBdr>
        <w:top w:val="none" w:sz="0" w:space="0" w:color="auto"/>
        <w:left w:val="none" w:sz="0" w:space="0" w:color="auto"/>
        <w:bottom w:val="none" w:sz="0" w:space="0" w:color="auto"/>
        <w:right w:val="none" w:sz="0" w:space="0" w:color="auto"/>
      </w:divBdr>
    </w:div>
    <w:div w:id="1618488037">
      <w:bodyDiv w:val="1"/>
      <w:marLeft w:val="0"/>
      <w:marRight w:val="0"/>
      <w:marTop w:val="0"/>
      <w:marBottom w:val="0"/>
      <w:divBdr>
        <w:top w:val="none" w:sz="0" w:space="0" w:color="auto"/>
        <w:left w:val="none" w:sz="0" w:space="0" w:color="auto"/>
        <w:bottom w:val="none" w:sz="0" w:space="0" w:color="auto"/>
        <w:right w:val="none" w:sz="0" w:space="0" w:color="auto"/>
      </w:divBdr>
    </w:div>
    <w:div w:id="187711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jennifer.duran@dot.ca.gov"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070\AppData\Roaming\Microsoft\Templates\Business%20Flyer.dotx" TargetMode="External"/></Relationships>
</file>

<file path=word/theme/theme1.xml><?xml version="1.0" encoding="utf-8"?>
<a:theme xmlns:a="http://schemas.openxmlformats.org/drawingml/2006/main" name="Office Theme">
  <a:themeElements>
    <a:clrScheme name="Custom 84">
      <a:dk1>
        <a:sysClr val="windowText" lastClr="000000"/>
      </a:dk1>
      <a:lt1>
        <a:sysClr val="window" lastClr="FFFFFF"/>
      </a:lt1>
      <a:dk2>
        <a:srgbClr val="315953"/>
      </a:dk2>
      <a:lt2>
        <a:srgbClr val="D3F0ED"/>
      </a:lt2>
      <a:accent1>
        <a:srgbClr val="487F81"/>
      </a:accent1>
      <a:accent2>
        <a:srgbClr val="96C98C"/>
      </a:accent2>
      <a:accent3>
        <a:srgbClr val="D3D9AE"/>
      </a:accent3>
      <a:accent4>
        <a:srgbClr val="E8CA7D"/>
      </a:accent4>
      <a:accent5>
        <a:srgbClr val="F0A93F"/>
      </a:accent5>
      <a:accent6>
        <a:srgbClr val="FA8242"/>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A71C5B-6702-41E0-960C-3DE9B09F9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CB82FF-2FD3-4A42-AC08-4E42E2A812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A5C490-8CC4-434D-AF39-74827E70D4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0</TotalTime>
  <Pages>3</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ASSET MANAGEMENT Engagement Plan</dc:title>
  <dc:subject/>
  <dc:creator>Johnson, Michael B@DOT</dc:creator>
  <cp:keywords/>
  <dc:description/>
  <cp:lastModifiedBy>Pat Scouten</cp:lastModifiedBy>
  <cp:revision>2</cp:revision>
  <cp:lastPrinted>2017-06-09T22:02:00Z</cp:lastPrinted>
  <dcterms:created xsi:type="dcterms:W3CDTF">2019-05-23T18:20:00Z</dcterms:created>
  <dcterms:modified xsi:type="dcterms:W3CDTF">2019-05-23T18:20:00Z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1562400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