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673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0710"/>
      </w:tblGrid>
      <w:tr w:rsidR="00604635" w:rsidRPr="008D316E" w14:paraId="3979A60A" w14:textId="77777777" w:rsidTr="003F42B7">
        <w:tc>
          <w:tcPr>
            <w:tcW w:w="10620" w:type="dxa"/>
          </w:tcPr>
          <w:tbl>
            <w:tblPr>
              <w:tblStyle w:val="TableGrid"/>
              <w:tblW w:w="10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ructure layout table"/>
            </w:tblPr>
            <w:tblGrid>
              <w:gridCol w:w="10620"/>
              <w:gridCol w:w="90"/>
            </w:tblGrid>
            <w:tr w:rsidR="00226F5C" w14:paraId="400E6E66" w14:textId="77777777" w:rsidTr="009435BF">
              <w:trPr>
                <w:trHeight w:val="1082"/>
              </w:trPr>
              <w:tc>
                <w:tcPr>
                  <w:tcW w:w="10620" w:type="dxa"/>
                  <w:shd w:val="clear" w:color="auto" w:fill="FA8242" w:themeFill="accent6"/>
                  <w:vAlign w:val="center"/>
                </w:tcPr>
                <w:p w14:paraId="378F1570" w14:textId="0736378B" w:rsidR="00F56ADF" w:rsidRPr="00F56ADF" w:rsidRDefault="00F56ADF" w:rsidP="005213DE">
                  <w:pPr>
                    <w:pStyle w:val="Title"/>
                    <w:spacing w:after="240"/>
                    <w:ind w:right="90"/>
                    <w:rPr>
                      <w:b/>
                      <w:caps w:val="0"/>
                      <w:smallCaps/>
                      <w:color w:val="auto"/>
                      <w:sz w:val="46"/>
                      <w:szCs w:val="46"/>
                    </w:rPr>
                  </w:pPr>
                  <w:r w:rsidRPr="00F56ADF">
                    <w:rPr>
                      <w:b/>
                      <w:caps w:val="0"/>
                      <w:smallCaps/>
                      <w:color w:val="auto"/>
                      <w:sz w:val="46"/>
                      <w:szCs w:val="46"/>
                    </w:rPr>
                    <w:t>National Performance Management Measures</w:t>
                  </w:r>
                </w:p>
                <w:p w14:paraId="1734188F" w14:textId="19E8A277" w:rsidR="00F80FD9" w:rsidRPr="008462F0" w:rsidRDefault="0025726E" w:rsidP="008D316E">
                  <w:pPr>
                    <w:pStyle w:val="Title"/>
                    <w:ind w:right="90"/>
                    <w:rPr>
                      <w:b/>
                      <w:caps w:val="0"/>
                      <w:smallCaps/>
                      <w:color w:val="auto"/>
                      <w:sz w:val="56"/>
                    </w:rPr>
                  </w:pPr>
                  <w:r>
                    <w:rPr>
                      <w:b/>
                      <w:caps w:val="0"/>
                      <w:smallCaps/>
                      <w:color w:val="auto"/>
                      <w:sz w:val="56"/>
                    </w:rPr>
                    <w:t>Pavement and Bridge Condition</w:t>
                  </w:r>
                </w:p>
                <w:p w14:paraId="22B485A3" w14:textId="0D4D66F2" w:rsidR="009435BF" w:rsidRPr="008D316E" w:rsidRDefault="008462F0" w:rsidP="008D316E">
                  <w:pPr>
                    <w:pStyle w:val="Heading1"/>
                    <w:spacing w:before="0" w:after="240"/>
                  </w:pPr>
                  <w:r w:rsidRPr="008D316E">
                    <w:t>Engagement P</w:t>
                  </w:r>
                  <w:r w:rsidR="009435BF" w:rsidRPr="008D316E">
                    <w:t>lan</w:t>
                  </w:r>
                </w:p>
              </w:tc>
              <w:tc>
                <w:tcPr>
                  <w:tcW w:w="90" w:type="dxa"/>
                  <w:vAlign w:val="center"/>
                </w:tcPr>
                <w:p w14:paraId="02779150" w14:textId="77777777" w:rsidR="00226F5C" w:rsidRDefault="00226F5C" w:rsidP="005213DE">
                  <w:pPr>
                    <w:spacing w:after="240" w:line="259" w:lineRule="auto"/>
                    <w:ind w:right="90"/>
                  </w:pPr>
                </w:p>
              </w:tc>
            </w:tr>
            <w:tr w:rsidR="00226F5C" w:rsidRPr="008D316E" w14:paraId="3071B248" w14:textId="77777777" w:rsidTr="009435BF">
              <w:trPr>
                <w:trHeight w:val="2322"/>
              </w:trPr>
              <w:tc>
                <w:tcPr>
                  <w:tcW w:w="10620" w:type="dxa"/>
                </w:tcPr>
                <w:p w14:paraId="240408A1" w14:textId="5DDEF958" w:rsidR="00FF4E20" w:rsidRPr="000B46CF" w:rsidRDefault="00FF4E20" w:rsidP="009435BF">
                  <w:pPr>
                    <w:ind w:right="90"/>
                    <w:rPr>
                      <w:b/>
                      <w:color w:val="FF0000"/>
                    </w:rPr>
                  </w:pPr>
                </w:p>
                <w:p w14:paraId="49CBD537" w14:textId="77777777" w:rsidR="000B46CF" w:rsidRPr="008D316E" w:rsidRDefault="000B46CF" w:rsidP="008D316E">
                  <w:pPr>
                    <w:pStyle w:val="Heading2"/>
                  </w:pPr>
                  <w:r w:rsidRPr="008D316E">
                    <w:t>Background:</w:t>
                  </w:r>
                </w:p>
                <w:p w14:paraId="2BBF78D2" w14:textId="5F05BE66" w:rsidR="00BF2733" w:rsidRPr="000B46CF" w:rsidRDefault="000B46CF" w:rsidP="000B46CF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  <w:r w:rsidRPr="000B46CF">
                    <w:rPr>
                      <w:rFonts w:asciiTheme="majorHAnsi" w:hAnsiTheme="majorHAnsi"/>
                    </w:rPr>
                    <w:t xml:space="preserve">The </w:t>
                  </w:r>
                  <w:r w:rsidR="00F961A1" w:rsidRPr="000B46CF">
                    <w:rPr>
                      <w:rFonts w:asciiTheme="majorHAnsi" w:hAnsiTheme="majorHAnsi"/>
                    </w:rPr>
                    <w:t>Moving Ahead for Progress in the 21</w:t>
                  </w:r>
                  <w:r w:rsidR="00F961A1" w:rsidRPr="000B46CF">
                    <w:rPr>
                      <w:rFonts w:asciiTheme="majorHAnsi" w:hAnsiTheme="majorHAnsi"/>
                      <w:vertAlign w:val="superscript"/>
                    </w:rPr>
                    <w:t>st</w:t>
                  </w:r>
                  <w:r w:rsidR="00F961A1" w:rsidRPr="000B46CF">
                    <w:rPr>
                      <w:rFonts w:asciiTheme="majorHAnsi" w:hAnsiTheme="majorHAnsi"/>
                    </w:rPr>
                    <w:t xml:space="preserve"> Century (</w:t>
                  </w:r>
                  <w:r w:rsidR="000C2E1A" w:rsidRPr="000B46CF">
                    <w:rPr>
                      <w:rFonts w:asciiTheme="majorHAnsi" w:hAnsiTheme="majorHAnsi"/>
                    </w:rPr>
                    <w:t>MAP-21</w:t>
                  </w:r>
                  <w:r w:rsidR="00F961A1" w:rsidRPr="000B46CF">
                    <w:rPr>
                      <w:rFonts w:asciiTheme="majorHAnsi" w:hAnsiTheme="majorHAnsi"/>
                    </w:rPr>
                    <w:t xml:space="preserve">) </w:t>
                  </w:r>
                  <w:r w:rsidRPr="000B46CF">
                    <w:rPr>
                      <w:rFonts w:asciiTheme="majorHAnsi" w:hAnsiTheme="majorHAnsi"/>
                    </w:rPr>
                    <w:t xml:space="preserve">transportation bill </w:t>
                  </w:r>
                  <w:r w:rsidR="00F961A1" w:rsidRPr="000B46CF">
                    <w:rPr>
                      <w:rFonts w:asciiTheme="majorHAnsi" w:hAnsiTheme="majorHAnsi"/>
                    </w:rPr>
                    <w:t xml:space="preserve">established federal regulation </w:t>
                  </w:r>
                  <w:r w:rsidR="00981C11" w:rsidRPr="000B46CF">
                    <w:rPr>
                      <w:rFonts w:asciiTheme="majorHAnsi" w:hAnsiTheme="majorHAnsi"/>
                    </w:rPr>
                    <w:t>that requires the development of a Transportation Asset Management Plan (TAMP)</w:t>
                  </w:r>
                  <w:r w:rsidRPr="000B46CF">
                    <w:rPr>
                      <w:rFonts w:asciiTheme="majorHAnsi" w:hAnsiTheme="majorHAnsi"/>
                    </w:rPr>
                    <w:t>,</w:t>
                  </w:r>
                  <w:r w:rsidR="00A00F51" w:rsidRPr="000B46CF">
                    <w:rPr>
                      <w:rFonts w:asciiTheme="majorHAnsi" w:hAnsiTheme="majorHAnsi"/>
                    </w:rPr>
                    <w:t xml:space="preserve"> and the implementation of Performance Management</w:t>
                  </w:r>
                  <w:r w:rsidR="0025726E">
                    <w:rPr>
                      <w:rFonts w:asciiTheme="majorHAnsi" w:hAnsiTheme="majorHAnsi"/>
                    </w:rPr>
                    <w:t xml:space="preserve">.  </w:t>
                  </w:r>
                  <w:r w:rsidR="00074EB2" w:rsidRPr="000B46CF">
                    <w:rPr>
                      <w:rFonts w:asciiTheme="majorHAnsi" w:hAnsiTheme="majorHAnsi"/>
                    </w:rPr>
                    <w:t>These regulations require all states to utilize nationally defined performance measures for pavement and bridges</w:t>
                  </w:r>
                  <w:r w:rsidR="00A00F51" w:rsidRPr="000B46CF">
                    <w:rPr>
                      <w:rFonts w:asciiTheme="majorHAnsi" w:hAnsiTheme="majorHAnsi"/>
                    </w:rPr>
                    <w:t xml:space="preserve"> on the National Highway System (NHS)</w:t>
                  </w:r>
                  <w:r w:rsidR="00074EB2" w:rsidRPr="000B46CF">
                    <w:rPr>
                      <w:rFonts w:asciiTheme="majorHAnsi" w:hAnsiTheme="majorHAnsi"/>
                    </w:rPr>
                    <w:t xml:space="preserve">. </w:t>
                  </w:r>
                  <w:r w:rsidR="00981C11" w:rsidRPr="000B46CF">
                    <w:rPr>
                      <w:rFonts w:asciiTheme="majorHAnsi" w:hAnsiTheme="majorHAnsi"/>
                    </w:rPr>
                    <w:t xml:space="preserve"> </w:t>
                  </w:r>
                  <w:r w:rsidR="00BF2733" w:rsidRPr="000B46CF">
                    <w:rPr>
                      <w:rFonts w:asciiTheme="majorHAnsi" w:hAnsiTheme="majorHAnsi"/>
                    </w:rPr>
                    <w:t xml:space="preserve">The </w:t>
                  </w:r>
                  <w:r w:rsidR="003E0009">
                    <w:rPr>
                      <w:rFonts w:asciiTheme="majorHAnsi" w:hAnsiTheme="majorHAnsi"/>
                    </w:rPr>
                    <w:t>Bridge and Pavement Performance Management (PM) F</w:t>
                  </w:r>
                  <w:r w:rsidR="00BF2733" w:rsidRPr="000B46CF">
                    <w:rPr>
                      <w:rFonts w:asciiTheme="majorHAnsi" w:hAnsiTheme="majorHAnsi"/>
                    </w:rPr>
                    <w:t xml:space="preserve">inal </w:t>
                  </w:r>
                  <w:r w:rsidR="003E0009">
                    <w:rPr>
                      <w:rFonts w:asciiTheme="majorHAnsi" w:hAnsiTheme="majorHAnsi"/>
                    </w:rPr>
                    <w:t>R</w:t>
                  </w:r>
                  <w:r w:rsidR="00BF2733" w:rsidRPr="000B46CF">
                    <w:rPr>
                      <w:rFonts w:asciiTheme="majorHAnsi" w:hAnsiTheme="majorHAnsi"/>
                    </w:rPr>
                    <w:t xml:space="preserve">ule, which is codified in </w:t>
                  </w:r>
                  <w:r w:rsidR="004D6E33" w:rsidRPr="000B46CF">
                    <w:rPr>
                      <w:rFonts w:asciiTheme="majorHAnsi" w:hAnsiTheme="majorHAnsi"/>
                    </w:rPr>
                    <w:t>23 Code of Federal Regulations Part 490,</w:t>
                  </w:r>
                  <w:r w:rsidR="00074EB2" w:rsidRPr="000B46CF">
                    <w:rPr>
                      <w:rFonts w:asciiTheme="majorHAnsi" w:hAnsiTheme="majorHAnsi"/>
                    </w:rPr>
                    <w:t xml:space="preserve"> defines the</w:t>
                  </w:r>
                  <w:r w:rsidR="00121877">
                    <w:rPr>
                      <w:rFonts w:asciiTheme="majorHAnsi" w:hAnsiTheme="majorHAnsi"/>
                    </w:rPr>
                    <w:t xml:space="preserve"> following</w:t>
                  </w:r>
                  <w:r w:rsidR="00074EB2" w:rsidRPr="000B46CF">
                    <w:rPr>
                      <w:rFonts w:asciiTheme="majorHAnsi" w:hAnsiTheme="majorHAnsi"/>
                    </w:rPr>
                    <w:t xml:space="preserve"> national performance measures for bridge and pavement</w:t>
                  </w:r>
                  <w:r w:rsidR="00121877">
                    <w:rPr>
                      <w:rFonts w:asciiTheme="majorHAnsi" w:hAnsiTheme="majorHAnsi"/>
                    </w:rPr>
                    <w:t>:</w:t>
                  </w:r>
                  <w:r w:rsidR="00074EB2" w:rsidRPr="000B46CF"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45FD7868" w14:textId="3DF10D46" w:rsidR="00F56ADF" w:rsidRPr="003F42B7" w:rsidRDefault="00F56ADF" w:rsidP="0005742E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20" w:after="0"/>
                    <w:rPr>
                      <w:rFonts w:asciiTheme="majorHAnsi" w:eastAsiaTheme="majorEastAsia" w:hAnsiTheme="majorHAnsi" w:cstheme="majorBidi"/>
                      <w:b/>
                    </w:rPr>
                  </w:pPr>
                  <w:r w:rsidRPr="003F42B7">
                    <w:rPr>
                      <w:rFonts w:asciiTheme="majorHAnsi" w:eastAsiaTheme="majorEastAsia" w:hAnsiTheme="majorHAnsi" w:cstheme="majorBidi"/>
                      <w:b/>
                    </w:rPr>
                    <w:t xml:space="preserve">Pavement </w:t>
                  </w:r>
                </w:p>
                <w:p w14:paraId="63971C2E" w14:textId="4BE03492" w:rsidR="00F56ADF" w:rsidRPr="00BE2F02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 xml:space="preserve">Percentage </w:t>
                  </w:r>
                  <w:r w:rsidR="00F56ADF"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 xml:space="preserve">of </w:t>
                  </w: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Interstate pavements in Good condition</w:t>
                  </w:r>
                </w:p>
                <w:p w14:paraId="7EA5CE65" w14:textId="2958B9E4" w:rsidR="00B12A67" w:rsidRPr="00BE2F02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Percentage of Interstate pavements in Poor condition</w:t>
                  </w:r>
                </w:p>
                <w:p w14:paraId="78BA9775" w14:textId="6AF51F61" w:rsidR="00B12A67" w:rsidRPr="00BE2F02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Percentage of non-Interstate NHS pavements in Good condition</w:t>
                  </w:r>
                </w:p>
                <w:p w14:paraId="735534A4" w14:textId="791ACAAD" w:rsidR="00B12A67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Percentage of non-Interstate NHS pavements in Poor condition</w:t>
                  </w:r>
                </w:p>
                <w:p w14:paraId="56051E34" w14:textId="77777777" w:rsidR="0005742E" w:rsidRPr="0005742E" w:rsidRDefault="0005742E" w:rsidP="0005742E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b/>
                      <w:sz w:val="12"/>
                      <w:szCs w:val="12"/>
                    </w:rPr>
                  </w:pPr>
                </w:p>
                <w:p w14:paraId="3721042D" w14:textId="08AA08AB" w:rsidR="00F56ADF" w:rsidRPr="003F42B7" w:rsidRDefault="00F56ADF" w:rsidP="0005742E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before="120" w:after="0"/>
                    <w:rPr>
                      <w:rFonts w:asciiTheme="majorHAnsi" w:eastAsiaTheme="majorEastAsia" w:hAnsiTheme="majorHAnsi" w:cstheme="majorBidi"/>
                      <w:b/>
                    </w:rPr>
                  </w:pPr>
                  <w:r w:rsidRPr="003F42B7">
                    <w:rPr>
                      <w:rFonts w:asciiTheme="majorHAnsi" w:eastAsiaTheme="majorEastAsia" w:hAnsiTheme="majorHAnsi" w:cstheme="majorBidi"/>
                      <w:b/>
                    </w:rPr>
                    <w:t>Bridge</w:t>
                  </w:r>
                </w:p>
                <w:p w14:paraId="28010E5E" w14:textId="2834169F" w:rsidR="00F56ADF" w:rsidRPr="00BE2F02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Percentage of NHS bridges in Good condition</w:t>
                  </w:r>
                </w:p>
                <w:p w14:paraId="2B96D86A" w14:textId="1875606E" w:rsidR="00B12A67" w:rsidRPr="00BE2F02" w:rsidRDefault="00B12A67" w:rsidP="003F42B7">
                  <w:pPr>
                    <w:pStyle w:val="ListParagraph"/>
                    <w:numPr>
                      <w:ilvl w:val="1"/>
                      <w:numId w:val="1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</w:pPr>
                  <w:r w:rsidRPr="00BE2F02">
                    <w:rPr>
                      <w:rFonts w:asciiTheme="majorHAnsi" w:eastAsiaTheme="majorEastAsia" w:hAnsiTheme="majorHAnsi" w:cstheme="majorBidi"/>
                      <w:sz w:val="24"/>
                      <w:szCs w:val="24"/>
                      <w:lang w:eastAsia="ja-JP"/>
                    </w:rPr>
                    <w:t>Percentage of NHS bridges in Poor condition</w:t>
                  </w:r>
                </w:p>
                <w:p w14:paraId="319424D5" w14:textId="77777777" w:rsidR="00B12A67" w:rsidRPr="00B12A67" w:rsidRDefault="00B12A67" w:rsidP="00B12A67">
                  <w:pPr>
                    <w:pStyle w:val="ListParagraph"/>
                    <w:autoSpaceDE w:val="0"/>
                    <w:autoSpaceDN w:val="0"/>
                    <w:adjustRightInd w:val="0"/>
                    <w:spacing w:after="0"/>
                    <w:rPr>
                      <w:rFonts w:asciiTheme="majorHAnsi" w:hAnsiTheme="majorHAnsi"/>
                    </w:rPr>
                  </w:pPr>
                </w:p>
                <w:p w14:paraId="3464A7C7" w14:textId="08F310FE" w:rsidR="000B46CF" w:rsidRPr="00121877" w:rsidRDefault="003E0009" w:rsidP="000B46CF">
                  <w:pPr>
                    <w:pStyle w:val="Heading3"/>
                    <w:spacing w:before="0"/>
                    <w:ind w:right="90"/>
                    <w:outlineLvl w:val="2"/>
                    <w:rPr>
                      <w:color w:val="auto"/>
                      <w:sz w:val="24"/>
                    </w:rPr>
                  </w:pPr>
                  <w:bookmarkStart w:id="0" w:name="_Toc445367378"/>
                  <w:r>
                    <w:rPr>
                      <w:rFonts w:eastAsiaTheme="minorEastAsia" w:cstheme="minorBidi"/>
                      <w:color w:val="auto"/>
                      <w:sz w:val="24"/>
                    </w:rPr>
                    <w:t>Th</w:t>
                  </w:r>
                  <w:r w:rsidRPr="003E0009">
                    <w:rPr>
                      <w:rFonts w:eastAsiaTheme="minorEastAsia" w:cstheme="minorBidi"/>
                      <w:color w:val="auto"/>
                      <w:sz w:val="24"/>
                    </w:rPr>
                    <w:t xml:space="preserve">e Bridge and Pavement </w:t>
                  </w:r>
                  <w:r>
                    <w:rPr>
                      <w:rFonts w:eastAsiaTheme="minorEastAsia" w:cstheme="minorBidi"/>
                      <w:color w:val="auto"/>
                      <w:sz w:val="24"/>
                    </w:rPr>
                    <w:t>P</w:t>
                  </w:r>
                  <w:r w:rsidRPr="003E0009">
                    <w:rPr>
                      <w:rFonts w:eastAsiaTheme="minorEastAsia" w:cstheme="minorBidi"/>
                      <w:color w:val="auto"/>
                      <w:sz w:val="24"/>
                    </w:rPr>
                    <w:t>M Final Rule</w:t>
                  </w:r>
                  <w:r w:rsidR="00C475B1">
                    <w:rPr>
                      <w:rFonts w:eastAsiaTheme="minorEastAsia" w:cstheme="minorBidi"/>
                      <w:color w:val="auto"/>
                      <w:sz w:val="24"/>
                    </w:rPr>
                    <w:t xml:space="preserve"> establishes the process for </w:t>
                  </w:r>
                  <w:r>
                    <w:rPr>
                      <w:rFonts w:eastAsiaTheme="minorEastAsia" w:cstheme="minorBidi"/>
                      <w:color w:val="auto"/>
                      <w:sz w:val="24"/>
                    </w:rPr>
                    <w:t>State Departments of Transportation</w:t>
                  </w:r>
                  <w:r w:rsidR="00FC1610">
                    <w:rPr>
                      <w:rFonts w:eastAsiaTheme="minorEastAsia" w:cstheme="minorBidi"/>
                      <w:color w:val="auto"/>
                      <w:sz w:val="24"/>
                    </w:rPr>
                    <w:t xml:space="preserve"> (DOTs)</w:t>
                  </w:r>
                  <w:r>
                    <w:rPr>
                      <w:rFonts w:eastAsiaTheme="minorEastAsia" w:cstheme="minorBidi"/>
                      <w:color w:val="auto"/>
                      <w:sz w:val="24"/>
                    </w:rPr>
                    <w:t xml:space="preserve"> and </w:t>
                  </w:r>
                  <w:r>
                    <w:rPr>
                      <w:color w:val="auto"/>
                      <w:sz w:val="24"/>
                    </w:rPr>
                    <w:t xml:space="preserve">Metropolitan Planning Organizations (MPOs) </w:t>
                  </w:r>
                  <w:r w:rsidR="00C475B1">
                    <w:rPr>
                      <w:color w:val="auto"/>
                      <w:sz w:val="24"/>
                    </w:rPr>
                    <w:t xml:space="preserve">to </w:t>
                  </w:r>
                  <w:r>
                    <w:rPr>
                      <w:color w:val="auto"/>
                      <w:sz w:val="24"/>
                    </w:rPr>
                    <w:t xml:space="preserve">establish </w:t>
                  </w:r>
                  <w:r w:rsidR="00C475B1">
                    <w:rPr>
                      <w:color w:val="auto"/>
                      <w:sz w:val="24"/>
                    </w:rPr>
                    <w:t xml:space="preserve">and report their bridge and pavement targets, and the process </w:t>
                  </w:r>
                  <w:r w:rsidR="00C475B1" w:rsidRPr="003F42B7">
                    <w:rPr>
                      <w:color w:val="auto"/>
                      <w:sz w:val="24"/>
                    </w:rPr>
                    <w:t>that</w:t>
                  </w:r>
                  <w:r w:rsidR="003F42B7" w:rsidRPr="003F42B7">
                    <w:rPr>
                      <w:rFonts w:ascii="Century Gothic" w:eastAsia="Times New Roman" w:hAnsi="Century Gothic" w:cs="Times New Roman"/>
                      <w:color w:val="auto"/>
                      <w:sz w:val="24"/>
                    </w:rPr>
                    <w:t xml:space="preserve"> </w:t>
                  </w:r>
                  <w:r w:rsidR="003F42B7">
                    <w:rPr>
                      <w:rFonts w:ascii="Century Gothic" w:eastAsia="Times New Roman" w:hAnsi="Century Gothic" w:cs="Times New Roman"/>
                      <w:color w:val="auto"/>
                      <w:sz w:val="24"/>
                    </w:rPr>
                    <w:t xml:space="preserve">the </w:t>
                  </w:r>
                  <w:r w:rsidR="003F42B7" w:rsidRPr="003F42B7">
                    <w:rPr>
                      <w:rFonts w:ascii="Century Gothic" w:eastAsia="Times New Roman" w:hAnsi="Century Gothic" w:cs="Times New Roman"/>
                      <w:color w:val="auto"/>
                      <w:sz w:val="24"/>
                    </w:rPr>
                    <w:t>Federal Highway Administration</w:t>
                  </w:r>
                  <w:r w:rsidR="00C475B1" w:rsidRPr="003F42B7">
                    <w:rPr>
                      <w:color w:val="auto"/>
                      <w:sz w:val="24"/>
                    </w:rPr>
                    <w:t xml:space="preserve"> </w:t>
                  </w:r>
                  <w:r w:rsidR="003F42B7">
                    <w:rPr>
                      <w:color w:val="auto"/>
                      <w:sz w:val="24"/>
                    </w:rPr>
                    <w:t>(</w:t>
                  </w:r>
                  <w:r w:rsidR="00C475B1" w:rsidRPr="003F42B7">
                    <w:rPr>
                      <w:color w:val="auto"/>
                      <w:sz w:val="24"/>
                    </w:rPr>
                    <w:t>FHWA</w:t>
                  </w:r>
                  <w:r w:rsidR="003F42B7">
                    <w:rPr>
                      <w:color w:val="auto"/>
                      <w:sz w:val="24"/>
                    </w:rPr>
                    <w:t>)</w:t>
                  </w:r>
                  <w:r w:rsidR="00C475B1" w:rsidRPr="003F42B7">
                    <w:rPr>
                      <w:color w:val="auto"/>
                      <w:sz w:val="24"/>
                    </w:rPr>
                    <w:t xml:space="preserve"> will use to assess whether State DOTs have met or made </w:t>
                  </w:r>
                  <w:r w:rsidR="00C475B1">
                    <w:rPr>
                      <w:color w:val="auto"/>
                      <w:sz w:val="24"/>
                    </w:rPr>
                    <w:t xml:space="preserve">significant progress toward meeting their targets. </w:t>
                  </w:r>
                </w:p>
                <w:p w14:paraId="3E330D3C" w14:textId="77777777" w:rsidR="008B2482" w:rsidRPr="003F42B7" w:rsidRDefault="008B2482" w:rsidP="003F42B7"/>
                <w:p w14:paraId="14855004" w14:textId="5E701ECE" w:rsidR="000B46CF" w:rsidRPr="000B46CF" w:rsidRDefault="0005742E" w:rsidP="008D316E">
                  <w:pPr>
                    <w:pStyle w:val="Heading2"/>
                  </w:pPr>
                  <w:r>
                    <w:t>Important Dates/</w:t>
                  </w:r>
                  <w:r w:rsidR="000B46CF" w:rsidRPr="000B46CF">
                    <w:t>Deadlines:</w:t>
                  </w:r>
                </w:p>
                <w:p w14:paraId="077643E6" w14:textId="6E2BD506" w:rsidR="00BE2F02" w:rsidRDefault="003F42B7" w:rsidP="003A100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The California Department of Transportation (</w:t>
                  </w:r>
                  <w:r w:rsidR="000461E2">
                    <w:rPr>
                      <w:rFonts w:asciiTheme="majorHAnsi" w:hAnsiTheme="majorHAnsi"/>
                    </w:rPr>
                    <w:t>Caltrans</w:t>
                  </w:r>
                  <w:r>
                    <w:rPr>
                      <w:rFonts w:asciiTheme="majorHAnsi" w:hAnsiTheme="majorHAnsi"/>
                    </w:rPr>
                    <w:t>)</w:t>
                  </w:r>
                  <w:r w:rsidR="000461E2">
                    <w:rPr>
                      <w:rFonts w:asciiTheme="majorHAnsi" w:hAnsiTheme="majorHAnsi"/>
                    </w:rPr>
                    <w:t xml:space="preserve"> expects </w:t>
                  </w:r>
                  <w:r w:rsidR="00BE2F02">
                    <w:rPr>
                      <w:rFonts w:asciiTheme="majorHAnsi" w:hAnsiTheme="majorHAnsi"/>
                    </w:rPr>
                    <w:t>to formally establish brid</w:t>
                  </w:r>
                  <w:r w:rsidR="00017BFB">
                    <w:rPr>
                      <w:rFonts w:asciiTheme="majorHAnsi" w:hAnsiTheme="majorHAnsi"/>
                    </w:rPr>
                    <w:t>ge and pavement targets in</w:t>
                  </w:r>
                  <w:r w:rsidR="00C475B1">
                    <w:rPr>
                      <w:rFonts w:asciiTheme="majorHAnsi" w:hAnsiTheme="majorHAnsi"/>
                    </w:rPr>
                    <w:t xml:space="preserve"> </w:t>
                  </w:r>
                  <w:r>
                    <w:rPr>
                      <w:rFonts w:asciiTheme="majorHAnsi" w:hAnsiTheme="majorHAnsi"/>
                    </w:rPr>
                    <w:t xml:space="preserve">June 2017.  </w:t>
                  </w:r>
                  <w:r w:rsidR="00017BFB">
                    <w:rPr>
                      <w:rFonts w:asciiTheme="majorHAnsi" w:hAnsiTheme="majorHAnsi"/>
                    </w:rPr>
                    <w:t xml:space="preserve">MPOs will have 180 days after Caltrans establishes their targets, to either support Caltrans’ </w:t>
                  </w:r>
                  <w:r w:rsidR="00FB3255">
                    <w:rPr>
                      <w:rFonts w:asciiTheme="majorHAnsi" w:hAnsiTheme="majorHAnsi"/>
                    </w:rPr>
                    <w:t>targets or establish their own (December 2018).</w:t>
                  </w:r>
                </w:p>
                <w:p w14:paraId="228F9DE8" w14:textId="77777777" w:rsidR="00BE2F02" w:rsidRDefault="00BE2F02" w:rsidP="003A100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  <w:p w14:paraId="0471719C" w14:textId="2E3020BF" w:rsidR="003A100D" w:rsidRDefault="00017BFB" w:rsidP="003A100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Caltrans intends to </w:t>
                  </w:r>
                  <w:r w:rsidR="000461E2">
                    <w:rPr>
                      <w:rFonts w:asciiTheme="majorHAnsi" w:hAnsiTheme="majorHAnsi"/>
                    </w:rPr>
                    <w:t xml:space="preserve">include the </w:t>
                  </w:r>
                  <w:r w:rsidR="00BE2F02">
                    <w:rPr>
                      <w:rFonts w:asciiTheme="majorHAnsi" w:hAnsiTheme="majorHAnsi"/>
                    </w:rPr>
                    <w:t>b</w:t>
                  </w:r>
                  <w:r w:rsidR="003A100D" w:rsidRPr="000B46CF">
                    <w:rPr>
                      <w:rFonts w:asciiTheme="majorHAnsi" w:hAnsiTheme="majorHAnsi"/>
                    </w:rPr>
                    <w:t>ridge and pavement performance targets</w:t>
                  </w:r>
                  <w:r>
                    <w:rPr>
                      <w:rFonts w:asciiTheme="majorHAnsi" w:hAnsiTheme="majorHAnsi"/>
                    </w:rPr>
                    <w:t xml:space="preserve"> </w:t>
                  </w:r>
                  <w:r w:rsidR="000461E2">
                    <w:rPr>
                      <w:rFonts w:asciiTheme="majorHAnsi" w:hAnsiTheme="majorHAnsi"/>
                    </w:rPr>
                    <w:t>in t</w:t>
                  </w:r>
                  <w:r w:rsidR="003A100D" w:rsidRPr="000B46CF">
                    <w:rPr>
                      <w:rFonts w:asciiTheme="majorHAnsi" w:hAnsiTheme="majorHAnsi"/>
                    </w:rPr>
                    <w:t xml:space="preserve">he initial TAMP, which </w:t>
                  </w:r>
                  <w:r w:rsidR="000461E2">
                    <w:rPr>
                      <w:rFonts w:asciiTheme="majorHAnsi" w:hAnsiTheme="majorHAnsi"/>
                    </w:rPr>
                    <w:t xml:space="preserve">must be </w:t>
                  </w:r>
                  <w:r w:rsidR="003A100D" w:rsidRPr="000B46CF">
                    <w:rPr>
                      <w:rFonts w:asciiTheme="majorHAnsi" w:hAnsiTheme="majorHAnsi"/>
                    </w:rPr>
                    <w:t>submit</w:t>
                  </w:r>
                  <w:r w:rsidR="000461E2">
                    <w:rPr>
                      <w:rFonts w:asciiTheme="majorHAnsi" w:hAnsiTheme="majorHAnsi"/>
                    </w:rPr>
                    <w:t>ted</w:t>
                  </w:r>
                  <w:r w:rsidR="003A100D" w:rsidRPr="000B46CF">
                    <w:rPr>
                      <w:rFonts w:asciiTheme="majorHAnsi" w:hAnsiTheme="majorHAnsi"/>
                    </w:rPr>
                    <w:t xml:space="preserve"> to </w:t>
                  </w:r>
                  <w:r w:rsidR="00121877">
                    <w:rPr>
                      <w:rFonts w:asciiTheme="majorHAnsi" w:hAnsiTheme="majorHAnsi"/>
                    </w:rPr>
                    <w:t>the F</w:t>
                  </w:r>
                  <w:r w:rsidR="003A100D" w:rsidRPr="000B46CF">
                    <w:rPr>
                      <w:rFonts w:asciiTheme="majorHAnsi" w:hAnsiTheme="majorHAnsi"/>
                    </w:rPr>
                    <w:t xml:space="preserve">HWA by April 30, 2018. </w:t>
                  </w:r>
                </w:p>
                <w:p w14:paraId="2416C4F5" w14:textId="77777777" w:rsidR="000B46CF" w:rsidRPr="000B46CF" w:rsidRDefault="000B46CF" w:rsidP="000B46CF">
                  <w:pPr>
                    <w:pStyle w:val="Heading3"/>
                    <w:spacing w:before="0"/>
                    <w:ind w:right="90"/>
                    <w:outlineLvl w:val="2"/>
                    <w:rPr>
                      <w:b/>
                      <w:color w:val="auto"/>
                      <w:sz w:val="24"/>
                      <w:u w:val="single"/>
                    </w:rPr>
                  </w:pPr>
                </w:p>
                <w:p w14:paraId="188EBC01" w14:textId="77777777" w:rsidR="000B46CF" w:rsidRPr="000B46CF" w:rsidRDefault="000B46CF" w:rsidP="008D316E">
                  <w:pPr>
                    <w:pStyle w:val="Heading2"/>
                  </w:pPr>
                  <w:r w:rsidRPr="000B46CF">
                    <w:t>Stakeholders:</w:t>
                  </w:r>
                </w:p>
                <w:p w14:paraId="1F8DCA88" w14:textId="502644D4" w:rsidR="00121877" w:rsidRPr="00121877" w:rsidRDefault="003F42B7" w:rsidP="000B46CF">
                  <w:r>
                    <w:t>Caltrans</w:t>
                  </w:r>
                  <w:r w:rsidR="00121877" w:rsidRPr="00121877">
                    <w:t xml:space="preserve"> will </w:t>
                  </w:r>
                  <w:r w:rsidR="00C575C0">
                    <w:t xml:space="preserve">be </w:t>
                  </w:r>
                  <w:r w:rsidR="00121877" w:rsidRPr="00121877">
                    <w:t>coordinat</w:t>
                  </w:r>
                  <w:r w:rsidR="00C575C0">
                    <w:t>ing</w:t>
                  </w:r>
                  <w:r w:rsidR="00121877" w:rsidRPr="00121877">
                    <w:t xml:space="preserve"> target setting efforts with the following stakeholders:</w:t>
                  </w:r>
                </w:p>
                <w:p w14:paraId="532B29D0" w14:textId="6A0D4F2B" w:rsidR="00121877" w:rsidRPr="007231AC" w:rsidRDefault="00C575C0" w:rsidP="00121877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MPOs</w:t>
                  </w:r>
                  <w:r w:rsidR="00121877" w:rsidRPr="007231A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and Rural Transportation Planning </w:t>
                  </w:r>
                  <w:r w:rsidR="00B047C4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Agencies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(RTPAs)</w:t>
                  </w:r>
                </w:p>
                <w:p w14:paraId="39F0023B" w14:textId="77777777" w:rsidR="00121877" w:rsidRPr="007231AC" w:rsidRDefault="00121877" w:rsidP="00121877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7231A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Cities and Counties</w:t>
                  </w:r>
                </w:p>
                <w:p w14:paraId="54922BFA" w14:textId="77777777" w:rsidR="00121877" w:rsidRDefault="00121877" w:rsidP="00121877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7231A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Tribal Governments</w:t>
                  </w:r>
                </w:p>
                <w:p w14:paraId="06ADE818" w14:textId="4D6C8F95" w:rsidR="00121877" w:rsidRDefault="003F42B7" w:rsidP="00121877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lastRenderedPageBreak/>
                    <w:t xml:space="preserve">The </w:t>
                  </w:r>
                  <w:r w:rsidR="00121877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California Trans</w:t>
                  </w: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portation Commission (CTC</w:t>
                  </w:r>
                  <w:r w:rsidR="00121877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)</w:t>
                  </w:r>
                </w:p>
                <w:p w14:paraId="58ADA521" w14:textId="77777777" w:rsidR="00121877" w:rsidRPr="007231AC" w:rsidRDefault="00121877" w:rsidP="00121877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FHWA</w:t>
                  </w:r>
                  <w:r w:rsidRPr="007231AC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 xml:space="preserve"> </w:t>
                  </w:r>
                </w:p>
                <w:p w14:paraId="45F3C35F" w14:textId="77777777" w:rsidR="000B46CF" w:rsidRPr="000B46CF" w:rsidRDefault="000B46CF" w:rsidP="000B46CF"/>
                <w:p w14:paraId="339ADBE5" w14:textId="77777777" w:rsidR="000B46CF" w:rsidRPr="000B46CF" w:rsidRDefault="000B46CF" w:rsidP="008D316E">
                  <w:pPr>
                    <w:pStyle w:val="Heading2"/>
                  </w:pPr>
                  <w:r w:rsidRPr="000B46CF">
                    <w:t>Major Issues:</w:t>
                  </w:r>
                </w:p>
                <w:p w14:paraId="52A706E1" w14:textId="58CD228A" w:rsidR="003A100D" w:rsidRDefault="003A100D" w:rsidP="003A100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  <w:r w:rsidRPr="000B46CF">
                    <w:rPr>
                      <w:rFonts w:asciiTheme="majorHAnsi" w:hAnsiTheme="majorHAnsi"/>
                    </w:rPr>
                    <w:t>Under MAP-21 regulations, the performance metrics of good, fair, poor for pavements differ from the metrics of Pavement Condition Index (PCI)</w:t>
                  </w:r>
                  <w:r w:rsidR="00C575C0">
                    <w:rPr>
                      <w:rFonts w:asciiTheme="majorHAnsi" w:hAnsiTheme="majorHAnsi"/>
                    </w:rPr>
                    <w:t xml:space="preserve"> used by our external partners.  </w:t>
                  </w:r>
                  <w:r w:rsidRPr="000B46CF">
                    <w:rPr>
                      <w:rFonts w:asciiTheme="majorHAnsi" w:hAnsiTheme="majorHAnsi"/>
                    </w:rPr>
                    <w:t>Caltrans</w:t>
                  </w:r>
                  <w:r w:rsidR="00C575C0">
                    <w:rPr>
                      <w:rFonts w:asciiTheme="majorHAnsi" w:hAnsiTheme="majorHAnsi"/>
                    </w:rPr>
                    <w:t xml:space="preserve"> is working with FHWA</w:t>
                  </w:r>
                  <w:r w:rsidRPr="000B46CF">
                    <w:rPr>
                      <w:rFonts w:asciiTheme="majorHAnsi" w:hAnsiTheme="majorHAnsi"/>
                    </w:rPr>
                    <w:t xml:space="preserve"> </w:t>
                  </w:r>
                  <w:r w:rsidR="000461E2">
                    <w:rPr>
                      <w:rFonts w:asciiTheme="majorHAnsi" w:hAnsiTheme="majorHAnsi"/>
                    </w:rPr>
                    <w:t>an</w:t>
                  </w:r>
                  <w:r w:rsidR="00C575C0">
                    <w:rPr>
                      <w:rFonts w:asciiTheme="majorHAnsi" w:hAnsiTheme="majorHAnsi"/>
                    </w:rPr>
                    <w:t xml:space="preserve">d our </w:t>
                  </w:r>
                  <w:r w:rsidR="000461E2">
                    <w:rPr>
                      <w:rFonts w:asciiTheme="majorHAnsi" w:hAnsiTheme="majorHAnsi"/>
                    </w:rPr>
                    <w:t xml:space="preserve">partners to explore the possibility of </w:t>
                  </w:r>
                  <w:r w:rsidRPr="000B46CF">
                    <w:rPr>
                      <w:rFonts w:asciiTheme="majorHAnsi" w:hAnsiTheme="majorHAnsi"/>
                    </w:rPr>
                    <w:t>creat</w:t>
                  </w:r>
                  <w:r w:rsidR="000461E2">
                    <w:rPr>
                      <w:rFonts w:asciiTheme="majorHAnsi" w:hAnsiTheme="majorHAnsi"/>
                    </w:rPr>
                    <w:t>ing</w:t>
                  </w:r>
                  <w:r w:rsidRPr="000B46CF">
                    <w:rPr>
                      <w:rFonts w:asciiTheme="majorHAnsi" w:hAnsiTheme="majorHAnsi"/>
                    </w:rPr>
                    <w:t xml:space="preserve"> a crosswalk for converting PCI to good, fair, poor condition.</w:t>
                  </w:r>
                  <w:r w:rsidR="000461E2">
                    <w:rPr>
                      <w:rFonts w:asciiTheme="majorHAnsi" w:hAnsiTheme="majorHAnsi"/>
                    </w:rPr>
                    <w:t xml:space="preserve"> </w:t>
                  </w:r>
                  <w:r w:rsidR="003F42B7">
                    <w:rPr>
                      <w:rFonts w:asciiTheme="majorHAnsi" w:hAnsiTheme="majorHAnsi"/>
                    </w:rPr>
                    <w:t xml:space="preserve"> </w:t>
                  </w:r>
                  <w:r w:rsidR="000461E2">
                    <w:rPr>
                      <w:rFonts w:asciiTheme="majorHAnsi" w:hAnsiTheme="majorHAnsi"/>
                    </w:rPr>
                    <w:t xml:space="preserve">No such crosswalk currently exists anywhere in the nation and it may not be possible to develop. </w:t>
                  </w:r>
                  <w:r w:rsidRPr="000B46CF">
                    <w:rPr>
                      <w:rFonts w:asciiTheme="majorHAnsi" w:hAnsiTheme="majorHAnsi"/>
                    </w:rPr>
                    <w:t xml:space="preserve">  </w:t>
                  </w:r>
                </w:p>
                <w:p w14:paraId="35106A96" w14:textId="77777777" w:rsidR="003F42B7" w:rsidRPr="000B46CF" w:rsidRDefault="003F42B7" w:rsidP="003A100D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</w:rPr>
                  </w:pPr>
                </w:p>
                <w:bookmarkEnd w:id="0"/>
                <w:p w14:paraId="35C3FA04" w14:textId="77777777" w:rsidR="000B46CF" w:rsidRPr="000B46CF" w:rsidRDefault="000B46CF" w:rsidP="008D316E">
                  <w:pPr>
                    <w:pStyle w:val="Heading2"/>
                  </w:pPr>
                  <w:r w:rsidRPr="000B46CF">
                    <w:t>Facilitation and Technical Support:</w:t>
                  </w:r>
                </w:p>
                <w:p w14:paraId="49E221FB" w14:textId="617BDE77" w:rsidR="000461E2" w:rsidRDefault="00017BFB" w:rsidP="003F42B7">
                  <w:pPr>
                    <w:ind w:right="9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Caltrans is coordinating with Performance Measure 3 (PM3) and a consultant to conduct target setting efforts.</w:t>
                  </w:r>
                </w:p>
                <w:p w14:paraId="033E7AC5" w14:textId="77777777" w:rsidR="000461E2" w:rsidRPr="000B46CF" w:rsidRDefault="000461E2" w:rsidP="000B46CF">
                  <w:pPr>
                    <w:ind w:right="90"/>
                    <w:rPr>
                      <w:rFonts w:asciiTheme="majorHAnsi" w:hAnsiTheme="majorHAnsi"/>
                    </w:rPr>
                  </w:pPr>
                </w:p>
                <w:p w14:paraId="3230E420" w14:textId="77777777" w:rsidR="000B46CF" w:rsidRDefault="000B46CF" w:rsidP="008D316E">
                  <w:pPr>
                    <w:pStyle w:val="Heading2"/>
                  </w:pPr>
                  <w:r w:rsidRPr="000B46CF">
                    <w:t>Engagement Timeline:</w:t>
                  </w:r>
                </w:p>
                <w:p w14:paraId="78A00DEF" w14:textId="21E9D87F" w:rsidR="00B047C4" w:rsidRDefault="00B047C4" w:rsidP="00B047C4">
                  <w:r w:rsidRPr="009B2381">
                    <w:t>In order to engage our par</w:t>
                  </w:r>
                  <w:r>
                    <w:t>tners in the target setting process,</w:t>
                  </w:r>
                  <w:r w:rsidRPr="009B2381">
                    <w:t xml:space="preserve"> Caltrans has or is conducting the following outreach efforts:</w:t>
                  </w:r>
                </w:p>
                <w:p w14:paraId="2F438037" w14:textId="77777777" w:rsidR="00B047C4" w:rsidRPr="009B2381" w:rsidRDefault="00B047C4" w:rsidP="00B047C4"/>
                <w:p w14:paraId="18AC720D" w14:textId="29B78B37" w:rsidR="004D6E33" w:rsidRPr="003F42B7" w:rsidRDefault="00BF5726" w:rsidP="000B46CF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right="9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F42B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August </w:t>
                  </w:r>
                  <w:r w:rsidR="007863BD" w:rsidRPr="003F42B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2015</w:t>
                  </w:r>
                  <w:r w:rsidRPr="003F42B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</w:t>
                  </w:r>
                  <w:r w:rsidR="007863B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– </w:t>
                  </w:r>
                  <w:r w:rsidRPr="003F42B7">
                    <w:rPr>
                      <w:rFonts w:asciiTheme="majorHAnsi" w:hAnsiTheme="majorHAnsi"/>
                      <w:sz w:val="24"/>
                      <w:szCs w:val="24"/>
                    </w:rPr>
                    <w:t>An all day workshop was held in Sacramento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7863B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with external stakeholders 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including 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>MPO</w:t>
                  </w:r>
                  <w:r w:rsidR="00D44BFB" w:rsidRPr="003F42B7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>, RTPA</w:t>
                  </w:r>
                  <w:r w:rsidR="00D44BFB" w:rsidRPr="003F42B7">
                    <w:rPr>
                      <w:rFonts w:asciiTheme="majorHAnsi" w:hAnsiTheme="majorHAnsi"/>
                      <w:sz w:val="24"/>
                      <w:szCs w:val="24"/>
                    </w:rPr>
                    <w:t>s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="00C575C0" w:rsidRPr="003F42B7">
                    <w:rPr>
                      <w:rFonts w:asciiTheme="majorHAnsi" w:hAnsiTheme="majorHAnsi"/>
                      <w:sz w:val="24"/>
                      <w:szCs w:val="24"/>
                    </w:rPr>
                    <w:t>cities and counties, as well as staff from FHWA and Caltrans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 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Keynote speakers included </w:t>
                  </w:r>
                  <w:r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Peter Stephanos from the </w:t>
                  </w:r>
                  <w:r w:rsidR="00C575C0" w:rsidRPr="003F42B7">
                    <w:rPr>
                      <w:rFonts w:asciiTheme="majorHAnsi" w:hAnsiTheme="majorHAnsi"/>
                      <w:sz w:val="24"/>
                      <w:szCs w:val="24"/>
                    </w:rPr>
                    <w:t>FHWA</w:t>
                  </w:r>
                  <w:r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, 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>Office of Performance</w:t>
                  </w:r>
                  <w:r w:rsid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Management in Washington D.C.  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This workshop focused on the performance management requirements included in MAP-21.  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Caltrans presented information on the current inventory, condition and performance of the four defined asset classes.  </w:t>
                  </w:r>
                  <w:r w:rsidR="00AD3563" w:rsidRPr="003F42B7">
                    <w:rPr>
                      <w:rFonts w:asciiTheme="majorHAnsi" w:hAnsiTheme="majorHAnsi"/>
                      <w:sz w:val="24"/>
                      <w:szCs w:val="24"/>
                    </w:rPr>
                    <w:t>During this workshop, s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ignificant feedback 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was received </w:t>
                  </w:r>
                  <w:r w:rsidR="000C2E1A" w:rsidRPr="003F42B7">
                    <w:rPr>
                      <w:rFonts w:asciiTheme="majorHAnsi" w:hAnsiTheme="majorHAnsi"/>
                      <w:sz w:val="24"/>
                      <w:szCs w:val="24"/>
                    </w:rPr>
                    <w:t>on the collection of locally owned NHS pavement invent</w:t>
                  </w:r>
                  <w:r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ory and condition information and </w:t>
                  </w:r>
                  <w:r w:rsidR="00AD3563" w:rsidRPr="003F42B7">
                    <w:rPr>
                      <w:rFonts w:asciiTheme="majorHAnsi" w:hAnsiTheme="majorHAnsi"/>
                      <w:sz w:val="24"/>
                      <w:szCs w:val="24"/>
                    </w:rPr>
                    <w:t>it was determined that Ca</w:t>
                  </w:r>
                  <w:r w:rsidR="00BE6A5E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ltrans would collect this data.  </w:t>
                  </w:r>
                  <w:r w:rsidR="00AD3563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Caltrans completed these efforts in 2016. </w:t>
                  </w:r>
                </w:p>
                <w:p w14:paraId="2AA008B5" w14:textId="77777777" w:rsidR="00AD3563" w:rsidRPr="003F42B7" w:rsidRDefault="00AD3563" w:rsidP="00BF2733">
                  <w:pPr>
                    <w:ind w:left="180" w:right="90"/>
                    <w:rPr>
                      <w:rFonts w:asciiTheme="majorHAnsi" w:hAnsiTheme="majorHAnsi"/>
                    </w:rPr>
                  </w:pPr>
                </w:p>
                <w:p w14:paraId="587AD321" w14:textId="33EC733A" w:rsidR="007863BD" w:rsidRPr="003F42B7" w:rsidRDefault="007B24E2" w:rsidP="000B46CF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right="90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334D20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August 2017 </w:t>
                  </w:r>
                  <w:r w:rsidR="00BF5726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– Caltrans </w:t>
                  </w:r>
                  <w:r w:rsidR="00B047C4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is </w:t>
                  </w:r>
                  <w:r w:rsidR="00C575C0" w:rsidRPr="003F42B7">
                    <w:rPr>
                      <w:rFonts w:asciiTheme="majorHAnsi" w:hAnsiTheme="majorHAnsi"/>
                      <w:sz w:val="24"/>
                      <w:szCs w:val="24"/>
                    </w:rPr>
                    <w:t>coordinat</w:t>
                  </w:r>
                  <w:r w:rsidR="00B047C4" w:rsidRPr="003F42B7">
                    <w:rPr>
                      <w:rFonts w:asciiTheme="majorHAnsi" w:hAnsiTheme="majorHAnsi"/>
                      <w:sz w:val="24"/>
                      <w:szCs w:val="24"/>
                    </w:rPr>
                    <w:t>ing</w:t>
                  </w:r>
                  <w:r w:rsidR="00C575C0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with PM3 to </w:t>
                  </w:r>
                  <w:r w:rsidR="00BF5726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hold </w:t>
                  </w:r>
                  <w:r w:rsidR="00EF464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an initial </w:t>
                  </w:r>
                  <w:r w:rsidR="00BF5726" w:rsidRPr="003F42B7">
                    <w:rPr>
                      <w:rFonts w:asciiTheme="majorHAnsi" w:hAnsiTheme="majorHAnsi"/>
                      <w:sz w:val="24"/>
                      <w:szCs w:val="24"/>
                    </w:rPr>
                    <w:t>phone conference/</w:t>
                  </w:r>
                  <w:r w:rsidR="00B276F1" w:rsidRPr="003F42B7">
                    <w:rPr>
                      <w:rFonts w:asciiTheme="majorHAnsi" w:hAnsiTheme="majorHAnsi"/>
                      <w:sz w:val="24"/>
                      <w:szCs w:val="24"/>
                    </w:rPr>
                    <w:t>webinar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with external stakeholders</w:t>
                  </w:r>
                  <w:r w:rsidR="00C575C0" w:rsidRPr="003F42B7">
                    <w:rPr>
                      <w:sz w:val="24"/>
                    </w:rPr>
                    <w:t xml:space="preserve"> including </w:t>
                  </w:r>
                  <w:r w:rsidR="00C575C0" w:rsidRPr="003F42B7">
                    <w:rPr>
                      <w:sz w:val="24"/>
                      <w:szCs w:val="24"/>
                    </w:rPr>
                    <w:t xml:space="preserve">MPOs, RTPAs, </w:t>
                  </w:r>
                  <w:r w:rsidR="00EF464A" w:rsidRPr="003F42B7">
                    <w:rPr>
                      <w:sz w:val="24"/>
                      <w:szCs w:val="24"/>
                    </w:rPr>
                    <w:t xml:space="preserve">cities, </w:t>
                  </w:r>
                  <w:r w:rsidR="00C575C0" w:rsidRPr="003F42B7">
                    <w:rPr>
                      <w:sz w:val="24"/>
                      <w:szCs w:val="24"/>
                    </w:rPr>
                    <w:t>counties</w:t>
                  </w:r>
                  <w:r w:rsidR="00EF464A" w:rsidRPr="003F42B7">
                    <w:rPr>
                      <w:sz w:val="24"/>
                      <w:szCs w:val="24"/>
                    </w:rPr>
                    <w:t xml:space="preserve"> and tribal governments</w:t>
                  </w:r>
                  <w:r w:rsidR="00C575C0" w:rsidRPr="003F42B7">
                    <w:rPr>
                      <w:sz w:val="24"/>
                      <w:szCs w:val="24"/>
                    </w:rPr>
                    <w:t xml:space="preserve">, as well as staff from </w:t>
                  </w:r>
                  <w:r w:rsidR="003F42B7">
                    <w:rPr>
                      <w:sz w:val="24"/>
                      <w:szCs w:val="24"/>
                    </w:rPr>
                    <w:t>the CTC</w:t>
                  </w:r>
                  <w:r w:rsidR="00EF464A" w:rsidRPr="003F42B7">
                    <w:rPr>
                      <w:sz w:val="24"/>
                      <w:szCs w:val="24"/>
                    </w:rPr>
                    <w:t>, FHWA,</w:t>
                  </w:r>
                  <w:r w:rsidR="00C575C0" w:rsidRPr="003F42B7">
                    <w:rPr>
                      <w:sz w:val="24"/>
                      <w:szCs w:val="24"/>
                    </w:rPr>
                    <w:t xml:space="preserve"> and Caltrans. 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C575C0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purpose of this meeting is 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to </w:t>
                  </w:r>
                  <w:r w:rsidR="00B276F1" w:rsidRPr="003F42B7">
                    <w:rPr>
                      <w:rFonts w:asciiTheme="majorHAnsi" w:hAnsiTheme="majorHAnsi"/>
                      <w:sz w:val="24"/>
                      <w:szCs w:val="24"/>
                    </w:rPr>
                    <w:t>collectively determine</w:t>
                  </w:r>
                  <w:r w:rsidR="00020CDD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bridge and pavement</w:t>
                  </w:r>
                  <w:r w:rsidR="00992B29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performance targets on </w:t>
                  </w:r>
                  <w:r w:rsidR="00EF464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the </w:t>
                  </w:r>
                  <w:r w:rsidR="00992B29" w:rsidRPr="003F42B7">
                    <w:rPr>
                      <w:rFonts w:asciiTheme="majorHAnsi" w:hAnsiTheme="majorHAnsi"/>
                      <w:sz w:val="24"/>
                      <w:szCs w:val="24"/>
                    </w:rPr>
                    <w:t>NHS</w:t>
                  </w:r>
                  <w:r w:rsidR="00B276F1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. </w:t>
                  </w:r>
                  <w:r w:rsidR="00BE6A5E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B276F1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If this cannot be accomplished in the webinar, a </w:t>
                  </w:r>
                  <w:r w:rsidR="00EF464A" w:rsidRPr="003F42B7">
                    <w:rPr>
                      <w:rFonts w:asciiTheme="majorHAnsi" w:hAnsiTheme="majorHAnsi"/>
                      <w:sz w:val="24"/>
                      <w:szCs w:val="24"/>
                    </w:rPr>
                    <w:t xml:space="preserve">future </w:t>
                  </w:r>
                  <w:r w:rsidR="00B276F1" w:rsidRPr="003F42B7">
                    <w:rPr>
                      <w:rFonts w:asciiTheme="majorHAnsi" w:hAnsiTheme="majorHAnsi"/>
                      <w:sz w:val="24"/>
                      <w:szCs w:val="24"/>
                    </w:rPr>
                    <w:t>workshop will be scheduled.</w:t>
                  </w:r>
                </w:p>
                <w:p w14:paraId="7B028ED9" w14:textId="77777777" w:rsidR="00A5560C" w:rsidRDefault="00A5560C" w:rsidP="00B276F1">
                  <w:pPr>
                    <w:autoSpaceDE w:val="0"/>
                    <w:autoSpaceDN w:val="0"/>
                    <w:adjustRightInd w:val="0"/>
                    <w:ind w:left="180"/>
                    <w:rPr>
                      <w:rFonts w:asciiTheme="majorHAnsi" w:hAnsiTheme="majorHAnsi"/>
                    </w:rPr>
                  </w:pPr>
                </w:p>
                <w:p w14:paraId="60BC7407" w14:textId="77777777" w:rsidR="00D44BFB" w:rsidRPr="008D316E" w:rsidRDefault="00D44BFB" w:rsidP="008D316E">
                  <w:pPr>
                    <w:pStyle w:val="Heading2"/>
                    <w:rPr>
                      <w:lang w:val="fr-CA"/>
                    </w:rPr>
                  </w:pPr>
                  <w:r w:rsidRPr="008D316E">
                    <w:rPr>
                      <w:lang w:val="fr-CA"/>
                    </w:rPr>
                    <w:t>C</w:t>
                  </w:r>
                  <w:bookmarkStart w:id="1" w:name="_GoBack"/>
                  <w:bookmarkEnd w:id="1"/>
                  <w:r w:rsidRPr="008D316E">
                    <w:rPr>
                      <w:lang w:val="fr-CA"/>
                    </w:rPr>
                    <w:t>ontact:</w:t>
                  </w:r>
                </w:p>
                <w:p w14:paraId="38BC2355" w14:textId="77777777" w:rsidR="00D44BFB" w:rsidRPr="008D316E" w:rsidRDefault="00D44BFB" w:rsidP="00D44BFB">
                  <w:pPr>
                    <w:rPr>
                      <w:lang w:val="fr-CA"/>
                    </w:rPr>
                  </w:pPr>
                  <w:r w:rsidRPr="008D316E">
                    <w:rPr>
                      <w:lang w:val="fr-CA"/>
                    </w:rPr>
                    <w:t>Jennifer Duran</w:t>
                  </w:r>
                </w:p>
                <w:p w14:paraId="2FD37291" w14:textId="75747762" w:rsidR="00992B29" w:rsidRPr="008D316E" w:rsidRDefault="00D44BFB" w:rsidP="00D44BFB">
                  <w:pPr>
                    <w:rPr>
                      <w:lang w:val="fr-CA"/>
                    </w:rPr>
                  </w:pPr>
                  <w:r w:rsidRPr="008D316E">
                    <w:rPr>
                      <w:lang w:val="fr-CA"/>
                    </w:rPr>
                    <w:t>Phone</w:t>
                  </w:r>
                  <w:proofErr w:type="gramStart"/>
                  <w:r w:rsidRPr="008D316E">
                    <w:rPr>
                      <w:lang w:val="fr-CA"/>
                    </w:rPr>
                    <w:t xml:space="preserve">:  </w:t>
                  </w:r>
                  <w:r w:rsidR="00992B29" w:rsidRPr="008D316E">
                    <w:rPr>
                      <w:lang w:val="fr-CA"/>
                    </w:rPr>
                    <w:t>(</w:t>
                  </w:r>
                  <w:proofErr w:type="gramEnd"/>
                  <w:r w:rsidR="00992B29" w:rsidRPr="008D316E">
                    <w:rPr>
                      <w:lang w:val="fr-CA"/>
                    </w:rPr>
                    <w:t>916) 323-7746</w:t>
                  </w:r>
                </w:p>
                <w:p w14:paraId="2C2F1052" w14:textId="17C66005" w:rsidR="00020CDD" w:rsidRPr="008D316E" w:rsidRDefault="00D44BFB" w:rsidP="00EF464A">
                  <w:pPr>
                    <w:rPr>
                      <w:rFonts w:asciiTheme="majorHAnsi" w:hAnsiTheme="majorHAnsi"/>
                      <w:lang w:val="fr-CA"/>
                    </w:rPr>
                  </w:pPr>
                  <w:r w:rsidRPr="008D316E">
                    <w:rPr>
                      <w:lang w:val="fr-CA"/>
                    </w:rPr>
                    <w:t xml:space="preserve">Email:  </w:t>
                  </w:r>
                  <w:hyperlink r:id="rId10" w:history="1">
                    <w:r w:rsidRPr="008D316E">
                      <w:rPr>
                        <w:rStyle w:val="Hyperlink"/>
                        <w:lang w:val="fr-CA"/>
                      </w:rPr>
                      <w:t>jennifer.duran@dot.ca.gov</w:t>
                    </w:r>
                  </w:hyperlink>
                </w:p>
                <w:p w14:paraId="0D284594" w14:textId="77777777" w:rsidR="002B4493" w:rsidRPr="008D316E" w:rsidRDefault="002B4493" w:rsidP="000B46CF">
                  <w:pPr>
                    <w:ind w:left="630" w:right="90"/>
                    <w:rPr>
                      <w:rFonts w:ascii="Times New Roman" w:eastAsia="Times New Roman" w:hAnsi="Times New Roman" w:cs="Times New Roman"/>
                      <w:lang w:val="fr-CA"/>
                    </w:rPr>
                  </w:pPr>
                </w:p>
              </w:tc>
              <w:tc>
                <w:tcPr>
                  <w:tcW w:w="90" w:type="dxa"/>
                </w:tcPr>
                <w:p w14:paraId="5D01FDC7" w14:textId="77777777" w:rsidR="00226F5C" w:rsidRPr="008D316E" w:rsidRDefault="00981C11" w:rsidP="005213DE">
                  <w:pPr>
                    <w:spacing w:after="240" w:line="259" w:lineRule="auto"/>
                    <w:ind w:right="90"/>
                    <w:rPr>
                      <w:lang w:val="fr-CA"/>
                    </w:rPr>
                  </w:pPr>
                  <w:r w:rsidRPr="008D316E">
                    <w:rPr>
                      <w:lang w:val="fr-CA"/>
                    </w:rPr>
                    <w:lastRenderedPageBreak/>
                    <w:t xml:space="preserve">  </w:t>
                  </w:r>
                </w:p>
              </w:tc>
            </w:tr>
          </w:tbl>
          <w:p w14:paraId="14D138B8" w14:textId="77777777" w:rsidR="00604635" w:rsidRPr="008D316E" w:rsidRDefault="00604635" w:rsidP="005213DE">
            <w:pPr>
              <w:ind w:right="90"/>
              <w:rPr>
                <w:lang w:val="fr-CA"/>
              </w:rPr>
            </w:pPr>
          </w:p>
        </w:tc>
      </w:tr>
    </w:tbl>
    <w:p w14:paraId="0BA483C3" w14:textId="77777777" w:rsidR="00903DFA" w:rsidRPr="008D316E" w:rsidRDefault="00903DFA" w:rsidP="00EF464A">
      <w:pPr>
        <w:tabs>
          <w:tab w:val="left" w:pos="3382"/>
        </w:tabs>
        <w:ind w:right="90"/>
        <w:rPr>
          <w:rFonts w:ascii="Times New Roman" w:hAnsi="Times New Roman" w:cs="Times New Roman"/>
          <w:lang w:val="fr-CA"/>
        </w:rPr>
      </w:pPr>
    </w:p>
    <w:sectPr w:rsidR="00903DFA" w:rsidRPr="008D316E" w:rsidSect="00BB6855">
      <w:footerReference w:type="default" r:id="rId11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CAACD" w14:textId="77777777" w:rsidR="00CA0AC9" w:rsidRDefault="00CA0AC9">
      <w:pPr>
        <w:spacing w:after="0" w:line="240" w:lineRule="auto"/>
      </w:pPr>
      <w:r>
        <w:separator/>
      </w:r>
    </w:p>
  </w:endnote>
  <w:endnote w:type="continuationSeparator" w:id="0">
    <w:p w14:paraId="1746FA92" w14:textId="77777777" w:rsidR="00CA0AC9" w:rsidRDefault="00CA0AC9">
      <w:pPr>
        <w:spacing w:after="0" w:line="240" w:lineRule="auto"/>
      </w:pPr>
      <w:r>
        <w:continuationSeparator/>
      </w:r>
    </w:p>
  </w:endnote>
  <w:endnote w:type="continuationNotice" w:id="1">
    <w:p w14:paraId="4C61E2B6" w14:textId="77777777" w:rsidR="00CA0AC9" w:rsidRDefault="00CA0A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8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0406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AC4EAF" w14:textId="43B1225A" w:rsidR="006F6CD7" w:rsidRDefault="006F6CD7">
        <w:pPr>
          <w:pStyle w:val="Footer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26CF72" w14:textId="77777777" w:rsidR="003964FE" w:rsidRDefault="0039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0BFA7" w14:textId="77777777" w:rsidR="00CA0AC9" w:rsidRDefault="00CA0AC9">
      <w:pPr>
        <w:spacing w:after="0" w:line="240" w:lineRule="auto"/>
      </w:pPr>
      <w:r>
        <w:separator/>
      </w:r>
    </w:p>
  </w:footnote>
  <w:footnote w:type="continuationSeparator" w:id="0">
    <w:p w14:paraId="65C8FE31" w14:textId="77777777" w:rsidR="00CA0AC9" w:rsidRDefault="00CA0AC9">
      <w:pPr>
        <w:spacing w:after="0" w:line="240" w:lineRule="auto"/>
      </w:pPr>
      <w:r>
        <w:continuationSeparator/>
      </w:r>
    </w:p>
  </w:footnote>
  <w:footnote w:type="continuationNotice" w:id="1">
    <w:p w14:paraId="4197FA6E" w14:textId="77777777" w:rsidR="00CA0AC9" w:rsidRDefault="00CA0A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4E1F"/>
    <w:multiLevelType w:val="hybridMultilevel"/>
    <w:tmpl w:val="99969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C1667"/>
    <w:multiLevelType w:val="hybridMultilevel"/>
    <w:tmpl w:val="B082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42E8"/>
    <w:multiLevelType w:val="hybridMultilevel"/>
    <w:tmpl w:val="00FA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3BC"/>
    <w:multiLevelType w:val="hybridMultilevel"/>
    <w:tmpl w:val="3ADE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05637"/>
    <w:multiLevelType w:val="hybridMultilevel"/>
    <w:tmpl w:val="30AE0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61B38"/>
    <w:multiLevelType w:val="hybridMultilevel"/>
    <w:tmpl w:val="D2E6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B6AD9"/>
    <w:multiLevelType w:val="hybridMultilevel"/>
    <w:tmpl w:val="B3CE71C8"/>
    <w:lvl w:ilvl="0" w:tplc="A9B2C6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833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C4B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2CF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060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D3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2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2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80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E849A7"/>
    <w:multiLevelType w:val="hybridMultilevel"/>
    <w:tmpl w:val="B3E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94178"/>
    <w:multiLevelType w:val="hybridMultilevel"/>
    <w:tmpl w:val="9FE4A022"/>
    <w:lvl w:ilvl="0" w:tplc="A9B2C6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7C4B4C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2CF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8060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2D3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62D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025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805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602002A"/>
    <w:multiLevelType w:val="hybridMultilevel"/>
    <w:tmpl w:val="F8162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55AE5"/>
    <w:multiLevelType w:val="hybridMultilevel"/>
    <w:tmpl w:val="3ADE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5BBF"/>
    <w:multiLevelType w:val="hybridMultilevel"/>
    <w:tmpl w:val="1C76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72BD6"/>
    <w:multiLevelType w:val="hybridMultilevel"/>
    <w:tmpl w:val="FBEAF6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5B65593"/>
    <w:multiLevelType w:val="hybridMultilevel"/>
    <w:tmpl w:val="641E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C1945"/>
    <w:multiLevelType w:val="hybridMultilevel"/>
    <w:tmpl w:val="4340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30D17"/>
    <w:multiLevelType w:val="hybridMultilevel"/>
    <w:tmpl w:val="DFFE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4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F5C"/>
    <w:rsid w:val="00017BFB"/>
    <w:rsid w:val="00020CDD"/>
    <w:rsid w:val="0004576E"/>
    <w:rsid w:val="00045CAF"/>
    <w:rsid w:val="000461E2"/>
    <w:rsid w:val="0005742E"/>
    <w:rsid w:val="00074D9B"/>
    <w:rsid w:val="00074EB2"/>
    <w:rsid w:val="00081AB1"/>
    <w:rsid w:val="000B46CF"/>
    <w:rsid w:val="000C2E1A"/>
    <w:rsid w:val="000F6060"/>
    <w:rsid w:val="00110025"/>
    <w:rsid w:val="0011655D"/>
    <w:rsid w:val="00121877"/>
    <w:rsid w:val="00124E64"/>
    <w:rsid w:val="00160467"/>
    <w:rsid w:val="001835FA"/>
    <w:rsid w:val="001A10D9"/>
    <w:rsid w:val="001D52C6"/>
    <w:rsid w:val="001E4F0A"/>
    <w:rsid w:val="001F602A"/>
    <w:rsid w:val="00220D3F"/>
    <w:rsid w:val="00226F5C"/>
    <w:rsid w:val="0025726E"/>
    <w:rsid w:val="00292095"/>
    <w:rsid w:val="00294B4A"/>
    <w:rsid w:val="002A1805"/>
    <w:rsid w:val="002A423C"/>
    <w:rsid w:val="002B4493"/>
    <w:rsid w:val="002C196A"/>
    <w:rsid w:val="002C61BA"/>
    <w:rsid w:val="002D1B80"/>
    <w:rsid w:val="00312DBF"/>
    <w:rsid w:val="00334D20"/>
    <w:rsid w:val="003964FE"/>
    <w:rsid w:val="003977CF"/>
    <w:rsid w:val="003A100D"/>
    <w:rsid w:val="003D2FA8"/>
    <w:rsid w:val="003E0009"/>
    <w:rsid w:val="003F42B7"/>
    <w:rsid w:val="004858A7"/>
    <w:rsid w:val="004B7941"/>
    <w:rsid w:val="004C7C14"/>
    <w:rsid w:val="004D099B"/>
    <w:rsid w:val="004D6E33"/>
    <w:rsid w:val="004E6BCC"/>
    <w:rsid w:val="005213DE"/>
    <w:rsid w:val="00525A33"/>
    <w:rsid w:val="00531CF2"/>
    <w:rsid w:val="005434EC"/>
    <w:rsid w:val="00567BEF"/>
    <w:rsid w:val="00580C80"/>
    <w:rsid w:val="005856CA"/>
    <w:rsid w:val="00596A11"/>
    <w:rsid w:val="005C0080"/>
    <w:rsid w:val="005C3893"/>
    <w:rsid w:val="005D374A"/>
    <w:rsid w:val="005F7AA7"/>
    <w:rsid w:val="00604635"/>
    <w:rsid w:val="00672FB4"/>
    <w:rsid w:val="006C7843"/>
    <w:rsid w:val="006F6CD7"/>
    <w:rsid w:val="0071704D"/>
    <w:rsid w:val="0074527B"/>
    <w:rsid w:val="007863BD"/>
    <w:rsid w:val="00792B45"/>
    <w:rsid w:val="007B24E2"/>
    <w:rsid w:val="007C40CF"/>
    <w:rsid w:val="007E3F82"/>
    <w:rsid w:val="00834759"/>
    <w:rsid w:val="008462F0"/>
    <w:rsid w:val="00873AE3"/>
    <w:rsid w:val="008A2106"/>
    <w:rsid w:val="008B2482"/>
    <w:rsid w:val="008D1695"/>
    <w:rsid w:val="008D316E"/>
    <w:rsid w:val="008E489A"/>
    <w:rsid w:val="009003BD"/>
    <w:rsid w:val="00903DFA"/>
    <w:rsid w:val="009435BF"/>
    <w:rsid w:val="00981C11"/>
    <w:rsid w:val="00992B29"/>
    <w:rsid w:val="009A7D55"/>
    <w:rsid w:val="009B4D15"/>
    <w:rsid w:val="009D1E3A"/>
    <w:rsid w:val="00A00F51"/>
    <w:rsid w:val="00A17C58"/>
    <w:rsid w:val="00A232A6"/>
    <w:rsid w:val="00A4297B"/>
    <w:rsid w:val="00A472B2"/>
    <w:rsid w:val="00A5560C"/>
    <w:rsid w:val="00A83F67"/>
    <w:rsid w:val="00A91E90"/>
    <w:rsid w:val="00AA1CCC"/>
    <w:rsid w:val="00AA530F"/>
    <w:rsid w:val="00AB4A62"/>
    <w:rsid w:val="00AD3563"/>
    <w:rsid w:val="00B047C4"/>
    <w:rsid w:val="00B12A67"/>
    <w:rsid w:val="00B1686F"/>
    <w:rsid w:val="00B276F1"/>
    <w:rsid w:val="00B4693B"/>
    <w:rsid w:val="00B5158C"/>
    <w:rsid w:val="00B75029"/>
    <w:rsid w:val="00B769D4"/>
    <w:rsid w:val="00B8533A"/>
    <w:rsid w:val="00B91A67"/>
    <w:rsid w:val="00BB6855"/>
    <w:rsid w:val="00BC2AE0"/>
    <w:rsid w:val="00BD4842"/>
    <w:rsid w:val="00BE2F02"/>
    <w:rsid w:val="00BE6A5E"/>
    <w:rsid w:val="00BF2733"/>
    <w:rsid w:val="00BF5726"/>
    <w:rsid w:val="00C16541"/>
    <w:rsid w:val="00C252AB"/>
    <w:rsid w:val="00C3344E"/>
    <w:rsid w:val="00C475B1"/>
    <w:rsid w:val="00C504B0"/>
    <w:rsid w:val="00C575C0"/>
    <w:rsid w:val="00C703D5"/>
    <w:rsid w:val="00C90DAC"/>
    <w:rsid w:val="00CA0AC9"/>
    <w:rsid w:val="00CF1AAE"/>
    <w:rsid w:val="00D0759B"/>
    <w:rsid w:val="00D31CC9"/>
    <w:rsid w:val="00D34BD0"/>
    <w:rsid w:val="00D44BFB"/>
    <w:rsid w:val="00D869AD"/>
    <w:rsid w:val="00D91F8B"/>
    <w:rsid w:val="00D94C48"/>
    <w:rsid w:val="00DD674C"/>
    <w:rsid w:val="00DE4A54"/>
    <w:rsid w:val="00EB2D43"/>
    <w:rsid w:val="00EF464A"/>
    <w:rsid w:val="00F02B8B"/>
    <w:rsid w:val="00F176B5"/>
    <w:rsid w:val="00F26D3A"/>
    <w:rsid w:val="00F56ADF"/>
    <w:rsid w:val="00F756F0"/>
    <w:rsid w:val="00F80FD9"/>
    <w:rsid w:val="00F92631"/>
    <w:rsid w:val="00F961A1"/>
    <w:rsid w:val="00FA7257"/>
    <w:rsid w:val="00FB3255"/>
    <w:rsid w:val="00FC1610"/>
    <w:rsid w:val="00FC5A03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8F6E8"/>
  <w15:chartTrackingRefBased/>
  <w15:docId w15:val="{2721258F-D63D-4DA2-BA9A-C5413219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8D316E"/>
    <w:pPr>
      <w:ind w:right="90"/>
      <w:outlineLvl w:val="0"/>
    </w:pPr>
    <w:rPr>
      <w:color w:val="595959" w:themeColor="text1" w:themeTint="A6"/>
      <w:sz w:val="44"/>
      <w:szCs w:val="4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8D316E"/>
    <w:pPr>
      <w:spacing w:before="0"/>
      <w:ind w:right="90"/>
      <w:outlineLvl w:val="1"/>
    </w:pPr>
    <w:rPr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 w:after="0" w:line="240" w:lineRule="auto"/>
      <w:outlineLvl w:val="2"/>
    </w:pPr>
    <w:rPr>
      <w:rFonts w:asciiTheme="majorHAnsi" w:eastAsiaTheme="majorEastAsia" w:hAnsiTheme="majorHAnsi" w:cstheme="majorBidi"/>
      <w:color w:val="487F81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316E"/>
    <w:rPr>
      <w:rFonts w:asciiTheme="majorHAnsi" w:eastAsiaTheme="majorEastAsia" w:hAnsiTheme="majorHAnsi" w:cstheme="majorBidi"/>
      <w:caps/>
      <w:color w:val="595959" w:themeColor="text1" w:themeTint="A6"/>
      <w:kern w:val="28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8D316E"/>
    <w:rPr>
      <w:rFonts w:asciiTheme="majorHAnsi" w:eastAsiaTheme="majorEastAsia" w:hAnsiTheme="majorHAnsi" w:cstheme="majorBidi"/>
      <w:b/>
      <w:u w:val="single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87F81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qFormat/>
    <w:rsid w:val="00226F5C"/>
    <w:pPr>
      <w:spacing w:after="160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0DA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4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4493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6C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4BF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165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2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6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7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jennifer.duran@dot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070\AppData\Roaming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63EC8831FDA347B3B4D34C1588A676" ma:contentTypeVersion="6" ma:contentTypeDescription="Create a new document." ma:contentTypeScope="" ma:versionID="986af36dea35a342596a4b3955698460">
  <xsd:schema xmlns:xsd="http://www.w3.org/2001/XMLSchema" xmlns:xs="http://www.w3.org/2001/XMLSchema" xmlns:p="http://schemas.microsoft.com/office/2006/metadata/properties" xmlns:ns2="8c8cfe39-bfce-4918-a795-97474633b185" targetNamespace="http://schemas.microsoft.com/office/2006/metadata/properties" ma:root="true" ma:fieldsID="152b2b83a319c80b81fdf0c16b6732c2" ns2:_="">
    <xsd:import namespace="8c8cfe39-bfce-4918-a795-97474633b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fe39-bfce-4918-a795-97474633b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1ACD23-F14C-41B3-B247-998BBCEFE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8cfe39-bfce-4918-a795-97474633b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74AAB-9977-4B4E-B29C-8EA078C18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39C772-8F21-49DF-A36F-967840BED6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Pavement and Bridge Condition Engagement Plan</dc:title>
  <dc:subject/>
  <dc:creator>Johnson, Michael B@DOT</dc:creator>
  <cp:keywords/>
  <dc:description/>
  <cp:lastModifiedBy>Pat Scouten</cp:lastModifiedBy>
  <cp:revision>2</cp:revision>
  <cp:lastPrinted>2017-06-13T20:51:00Z</cp:lastPrinted>
  <dcterms:created xsi:type="dcterms:W3CDTF">2019-05-23T18:18:00Z</dcterms:created>
  <dcterms:modified xsi:type="dcterms:W3CDTF">2019-05-23T18:18:00Z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0x0101003A63EC8831FDA347B3B4D34C1588A676</vt:lpwstr>
  </property>
  <property fmtid="{D5CDD505-2E9C-101B-9397-08002B2CF9AE}" pid="3" name="Order">
    <vt:r8>1562500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