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AE7F" w14:textId="4C56F6AD" w:rsidR="00817F6D" w:rsidRPr="00E20BA8" w:rsidRDefault="0020396D" w:rsidP="00E20BA8">
      <w:pPr>
        <w:pStyle w:val="Title"/>
        <w:rPr>
          <w:color w:val="0000FF"/>
          <w:sz w:val="32"/>
          <w:szCs w:val="32"/>
        </w:rPr>
      </w:pPr>
      <w:r w:rsidRPr="0046304E">
        <w:rPr>
          <w:color w:val="0000FF"/>
          <w:sz w:val="32"/>
          <w:szCs w:val="32"/>
        </w:rPr>
        <w:t>Energy Analysis Report</w:t>
      </w:r>
      <w:r w:rsidR="00C37A36" w:rsidRPr="00C37A36">
        <w:rPr>
          <w:color w:val="0000FF"/>
          <w:sz w:val="32"/>
          <w:szCs w:val="32"/>
        </w:rPr>
        <w:br/>
      </w:r>
      <w:r w:rsidRPr="0046304E">
        <w:rPr>
          <w:color w:val="0000FF"/>
          <w:sz w:val="32"/>
          <w:szCs w:val="32"/>
        </w:rPr>
        <w:t>Annotated Outline</w:t>
      </w:r>
      <w:r w:rsidR="00C37A36" w:rsidRPr="00C37A36">
        <w:rPr>
          <w:color w:val="0000FF"/>
          <w:sz w:val="32"/>
          <w:szCs w:val="32"/>
        </w:rPr>
        <w:t xml:space="preserve"> (</w:t>
      </w:r>
      <w:r w:rsidRPr="0046304E">
        <w:rPr>
          <w:color w:val="0000FF"/>
          <w:sz w:val="32"/>
          <w:szCs w:val="32"/>
        </w:rPr>
        <w:t>1</w:t>
      </w:r>
      <w:r w:rsidR="00C37A36" w:rsidRPr="00C37A36">
        <w:rPr>
          <w:color w:val="0000FF"/>
          <w:sz w:val="32"/>
          <w:szCs w:val="32"/>
        </w:rPr>
        <w:t>/2</w:t>
      </w:r>
      <w:r w:rsidR="00D4046B">
        <w:rPr>
          <w:color w:val="0000FF"/>
          <w:sz w:val="32"/>
          <w:szCs w:val="32"/>
        </w:rPr>
        <w:t>4</w:t>
      </w:r>
      <w:r w:rsidR="00C37A36" w:rsidRPr="00C37A36">
        <w:rPr>
          <w:color w:val="0000FF"/>
          <w:sz w:val="32"/>
          <w:szCs w:val="32"/>
        </w:rPr>
        <w:t>)</w:t>
      </w:r>
    </w:p>
    <w:p w14:paraId="14781655" w14:textId="42BB5F24" w:rsidR="00FF2253" w:rsidRPr="00FF2253" w:rsidRDefault="00FF2253" w:rsidP="0046304E">
      <w:pPr>
        <w:jc w:val="center"/>
        <w:rPr>
          <w:b/>
          <w:color w:val="0000FF"/>
        </w:rPr>
      </w:pPr>
      <w:r w:rsidRPr="00FF2253">
        <w:rPr>
          <w:b/>
          <w:color w:val="0000FF"/>
        </w:rPr>
        <w:t xml:space="preserve">Caltrans Division of Environmental Analysis, </w:t>
      </w:r>
      <w:r w:rsidR="0046304E" w:rsidRPr="0046304E">
        <w:rPr>
          <w:b/>
          <w:color w:val="0000FF"/>
        </w:rPr>
        <w:t>Office of Hazardous Waste, Air, Noise</w:t>
      </w:r>
      <w:r w:rsidR="00785498">
        <w:rPr>
          <w:b/>
          <w:color w:val="0000FF"/>
        </w:rPr>
        <w:t>,</w:t>
      </w:r>
      <w:r w:rsidR="0046304E" w:rsidRPr="0046304E">
        <w:rPr>
          <w:b/>
          <w:color w:val="0000FF"/>
        </w:rPr>
        <w:t xml:space="preserve"> and Paleontology</w:t>
      </w:r>
      <w:r w:rsidR="00740E58">
        <w:rPr>
          <w:b/>
          <w:color w:val="0000FF"/>
        </w:rPr>
        <w:t xml:space="preserve"> (HWANP)</w:t>
      </w:r>
    </w:p>
    <w:p w14:paraId="5DFD6656" w14:textId="342B5B03" w:rsidR="00FF2253" w:rsidRPr="00FF2253" w:rsidRDefault="009252DF" w:rsidP="009252DF">
      <w:pPr>
        <w:pStyle w:val="IntroGuidanceHeading1"/>
        <w:spacing w:after="240"/>
      </w:pPr>
      <w:r>
        <w:t>TEMPLATE GUIDANCE</w:t>
      </w:r>
    </w:p>
    <w:p w14:paraId="1DAF989A" w14:textId="287E796C" w:rsidR="00FB6BE7" w:rsidRDefault="00FB6BE7" w:rsidP="00FF2253">
      <w:pPr>
        <w:rPr>
          <w:color w:val="0000FF"/>
        </w:rPr>
      </w:pPr>
      <w:r w:rsidRPr="00FB6BE7">
        <w:rPr>
          <w:color w:val="0000FF"/>
        </w:rPr>
        <w:t xml:space="preserve">Page </w:t>
      </w:r>
      <w:r w:rsidR="00E20BA8">
        <w:rPr>
          <w:color w:val="0000FF"/>
        </w:rPr>
        <w:t xml:space="preserve">1 </w:t>
      </w:r>
      <w:r w:rsidRPr="00FB6BE7">
        <w:rPr>
          <w:color w:val="0000FF"/>
        </w:rPr>
        <w:t>contain</w:t>
      </w:r>
      <w:r w:rsidR="00E42051">
        <w:rPr>
          <w:color w:val="0000FF"/>
        </w:rPr>
        <w:t>s</w:t>
      </w:r>
      <w:r w:rsidRPr="00FB6BE7">
        <w:rPr>
          <w:color w:val="0000FF"/>
        </w:rPr>
        <w:t xml:space="preserve"> </w:t>
      </w:r>
      <w:r w:rsidR="00E20BA8">
        <w:rPr>
          <w:color w:val="0000FF"/>
        </w:rPr>
        <w:t xml:space="preserve">technical guidance for preparing the Energy Analysis Report (EAR). </w:t>
      </w:r>
      <w:r w:rsidR="00704C8A">
        <w:rPr>
          <w:color w:val="0000FF"/>
        </w:rPr>
        <w:t xml:space="preserve"> </w:t>
      </w:r>
      <w:r w:rsidR="00E20BA8">
        <w:rPr>
          <w:color w:val="0000FF"/>
        </w:rPr>
        <w:t>Page 2 contain</w:t>
      </w:r>
      <w:r w:rsidR="00704C8A">
        <w:rPr>
          <w:color w:val="0000FF"/>
        </w:rPr>
        <w:t>s</w:t>
      </w:r>
      <w:r w:rsidR="00E20BA8">
        <w:rPr>
          <w:color w:val="0000FF"/>
        </w:rPr>
        <w:t xml:space="preserve"> formatting and publication guidance</w:t>
      </w:r>
      <w:r w:rsidR="00740E58">
        <w:rPr>
          <w:color w:val="0000FF"/>
        </w:rPr>
        <w:t xml:space="preserve"> for compliance with the </w:t>
      </w:r>
      <w:bookmarkStart w:id="0" w:name="_Hlk151379131"/>
      <w:r w:rsidR="00740E58" w:rsidRPr="006A03FD">
        <w:rPr>
          <w:color w:val="0000FF"/>
        </w:rPr>
        <w:t>Americans with Disabilities Act (ADA)</w:t>
      </w:r>
      <w:bookmarkEnd w:id="0"/>
      <w:r w:rsidR="00D41864">
        <w:rPr>
          <w:color w:val="0000FF"/>
        </w:rPr>
        <w:t xml:space="preserve">.  </w:t>
      </w:r>
      <w:r w:rsidR="009734F5">
        <w:rPr>
          <w:color w:val="0000FF"/>
        </w:rPr>
        <w:t xml:space="preserve">Both </w:t>
      </w:r>
      <w:r w:rsidR="00E20BA8">
        <w:rPr>
          <w:color w:val="0000FF"/>
        </w:rPr>
        <w:t xml:space="preserve">pages should be </w:t>
      </w:r>
      <w:r w:rsidRPr="00FB6BE7">
        <w:rPr>
          <w:color w:val="0000FF"/>
        </w:rPr>
        <w:t>omitted from the final document</w:t>
      </w:r>
      <w:r>
        <w:rPr>
          <w:color w:val="0000FF"/>
        </w:rPr>
        <w:t>.</w:t>
      </w:r>
    </w:p>
    <w:p w14:paraId="4C66D0CE" w14:textId="63B441C6" w:rsidR="003B4588" w:rsidRDefault="00E65254" w:rsidP="00FF2253">
      <w:pPr>
        <w:rPr>
          <w:color w:val="0000FF"/>
        </w:rPr>
      </w:pPr>
      <w:r w:rsidRPr="00E65254">
        <w:rPr>
          <w:color w:val="0000FF"/>
        </w:rPr>
        <w:t xml:space="preserve">The purpose of </w:t>
      </w:r>
      <w:r>
        <w:rPr>
          <w:color w:val="0000FF"/>
        </w:rPr>
        <w:t>an</w:t>
      </w:r>
      <w:r w:rsidRPr="00E65254">
        <w:rPr>
          <w:color w:val="0000FF"/>
        </w:rPr>
        <w:t xml:space="preserve"> </w:t>
      </w:r>
      <w:r>
        <w:rPr>
          <w:color w:val="0000FF"/>
        </w:rPr>
        <w:t xml:space="preserve">EAR </w:t>
      </w:r>
      <w:r w:rsidRPr="00E65254">
        <w:rPr>
          <w:color w:val="0000FF"/>
        </w:rPr>
        <w:t xml:space="preserve">is to evaluate </w:t>
      </w:r>
      <w:r w:rsidR="00B709FC">
        <w:rPr>
          <w:color w:val="0000FF"/>
        </w:rPr>
        <w:t xml:space="preserve">project-level </w:t>
      </w:r>
      <w:r w:rsidRPr="00E65254">
        <w:rPr>
          <w:color w:val="0000FF"/>
        </w:rPr>
        <w:t xml:space="preserve">energy impacts consistent with the </w:t>
      </w:r>
      <w:bookmarkStart w:id="1" w:name="_Hlk151379135"/>
      <w:r w:rsidRPr="00E65254">
        <w:rPr>
          <w:color w:val="0000FF"/>
        </w:rPr>
        <w:t xml:space="preserve">Federal Highway Administration’s (FHWA) </w:t>
      </w:r>
      <w:bookmarkEnd w:id="1"/>
      <w:r w:rsidRPr="00E65254">
        <w:rPr>
          <w:color w:val="0000FF"/>
        </w:rPr>
        <w:t xml:space="preserve">Technical Advisory 6640.8A and </w:t>
      </w:r>
      <w:bookmarkStart w:id="2" w:name="_Hlk151379140"/>
      <w:r w:rsidRPr="00E65254">
        <w:rPr>
          <w:color w:val="0000FF"/>
        </w:rPr>
        <w:t xml:space="preserve">California Environmental Quality Act (CEQA) </w:t>
      </w:r>
      <w:bookmarkEnd w:id="2"/>
      <w:r w:rsidRPr="00E65254">
        <w:rPr>
          <w:color w:val="0000FF"/>
        </w:rPr>
        <w:t xml:space="preserve">Appendix </w:t>
      </w:r>
      <w:r w:rsidR="00A63722" w:rsidRPr="00E65254">
        <w:rPr>
          <w:color w:val="0000FF"/>
        </w:rPr>
        <w:t>F</w:t>
      </w:r>
      <w:r w:rsidR="00A63722">
        <w:rPr>
          <w:color w:val="0000FF"/>
        </w:rPr>
        <w:t xml:space="preserve">.  </w:t>
      </w:r>
      <w:r w:rsidR="00442C32">
        <w:rPr>
          <w:color w:val="0000FF"/>
        </w:rPr>
        <w:t xml:space="preserve">This EAR template is based on </w:t>
      </w:r>
      <w:r w:rsidR="007F73B3">
        <w:rPr>
          <w:color w:val="0000FF"/>
        </w:rPr>
        <w:t xml:space="preserve">the </w:t>
      </w:r>
      <w:hyperlink r:id="rId8" w:tooltip="Standard Environmental Reference (SER)" w:history="1">
        <w:r w:rsidR="007F73B3" w:rsidRPr="007F73B3">
          <w:rPr>
            <w:rStyle w:val="Hyperlink"/>
          </w:rPr>
          <w:t>S</w:t>
        </w:r>
        <w:bookmarkStart w:id="3" w:name="_Hlk151379144"/>
        <w:r w:rsidR="007F73B3" w:rsidRPr="007F73B3">
          <w:rPr>
            <w:rStyle w:val="Hyperlink"/>
          </w:rPr>
          <w:t>tandard Environmental Reference (SER)</w:t>
        </w:r>
        <w:bookmarkEnd w:id="3"/>
      </w:hyperlink>
      <w:r w:rsidR="007F73B3">
        <w:rPr>
          <w:color w:val="0000FF"/>
        </w:rPr>
        <w:t xml:space="preserve">, Volume </w:t>
      </w:r>
      <w:r w:rsidR="0030512A">
        <w:rPr>
          <w:color w:val="0000FF"/>
        </w:rPr>
        <w:t>1</w:t>
      </w:r>
      <w:r w:rsidR="007F73B3">
        <w:rPr>
          <w:color w:val="0000FF"/>
        </w:rPr>
        <w:t xml:space="preserve">, </w:t>
      </w:r>
      <w:hyperlink r:id="rId9" w:history="1">
        <w:r w:rsidR="007F73B3" w:rsidRPr="0030512A">
          <w:rPr>
            <w:rStyle w:val="Hyperlink"/>
          </w:rPr>
          <w:t xml:space="preserve">Chapter 13, </w:t>
        </w:r>
        <w:r w:rsidR="007F73B3" w:rsidRPr="0030512A">
          <w:rPr>
            <w:rStyle w:val="Hyperlink"/>
            <w:i/>
            <w:iCs/>
          </w:rPr>
          <w:t>Energy</w:t>
        </w:r>
      </w:hyperlink>
      <w:r w:rsidR="0056280B">
        <w:rPr>
          <w:color w:val="0000FF"/>
        </w:rPr>
        <w:t>.</w:t>
      </w:r>
    </w:p>
    <w:p w14:paraId="567E0069" w14:textId="07E52476" w:rsidR="00B24A14" w:rsidRDefault="005122EF" w:rsidP="00B24A14">
      <w:pPr>
        <w:rPr>
          <w:color w:val="0000FF"/>
        </w:rPr>
      </w:pPr>
      <w:r>
        <w:rPr>
          <w:color w:val="0000FF"/>
        </w:rPr>
        <w:t xml:space="preserve">The decision to prepare an EAR should be informed </w:t>
      </w:r>
      <w:r w:rsidRPr="005122EF">
        <w:rPr>
          <w:color w:val="0000FF"/>
        </w:rPr>
        <w:t>by the level of environmental documentation</w:t>
      </w:r>
      <w:r w:rsidR="00972327">
        <w:rPr>
          <w:color w:val="0000FF"/>
        </w:rPr>
        <w:t xml:space="preserve">, and the scope of the EAR informed by the type of </w:t>
      </w:r>
      <w:r>
        <w:rPr>
          <w:color w:val="0000FF"/>
        </w:rPr>
        <w:t>project</w:t>
      </w:r>
      <w:r w:rsidR="00972327">
        <w:rPr>
          <w:color w:val="0000FF"/>
        </w:rPr>
        <w:t xml:space="preserve"> and potential to affect energy resources</w:t>
      </w:r>
      <w:r w:rsidR="00D41864">
        <w:rPr>
          <w:color w:val="0000FF"/>
        </w:rPr>
        <w:t xml:space="preserve">.  </w:t>
      </w:r>
      <w:r w:rsidR="005513BB">
        <w:rPr>
          <w:color w:val="0000FF"/>
        </w:rPr>
        <w:t xml:space="preserve">Specifically: </w:t>
      </w:r>
    </w:p>
    <w:p w14:paraId="79657C27" w14:textId="2AC93B6C" w:rsidR="00B24A14" w:rsidRPr="005513BB" w:rsidRDefault="007073AD" w:rsidP="005513BB">
      <w:pPr>
        <w:pStyle w:val="ListParagraph"/>
        <w:numPr>
          <w:ilvl w:val="0"/>
          <w:numId w:val="5"/>
        </w:numPr>
        <w:rPr>
          <w:color w:val="0000FF"/>
        </w:rPr>
      </w:pPr>
      <w:r w:rsidRPr="005513BB">
        <w:rPr>
          <w:color w:val="0000FF"/>
        </w:rPr>
        <w:t xml:space="preserve">For </w:t>
      </w:r>
      <w:r w:rsidR="00785498">
        <w:rPr>
          <w:color w:val="0000FF"/>
        </w:rPr>
        <w:t>the National Environmental Policy Act (</w:t>
      </w:r>
      <w:r w:rsidRPr="005513BB">
        <w:rPr>
          <w:color w:val="0000FF"/>
        </w:rPr>
        <w:t>NEPA</w:t>
      </w:r>
      <w:r w:rsidR="00785498">
        <w:rPr>
          <w:color w:val="0000FF"/>
        </w:rPr>
        <w:t>)</w:t>
      </w:r>
      <w:r w:rsidRPr="005513BB">
        <w:rPr>
          <w:color w:val="0000FF"/>
        </w:rPr>
        <w:t xml:space="preserve">, an EAR with a quantitative energy analysis will only be required when an </w:t>
      </w:r>
      <w:bookmarkStart w:id="4" w:name="_Hlk151379156"/>
      <w:r w:rsidR="008B7B29" w:rsidRPr="005513BB">
        <w:rPr>
          <w:color w:val="0000FF"/>
        </w:rPr>
        <w:t>Environmental Impact Statement (EIS)</w:t>
      </w:r>
      <w:r w:rsidRPr="005513BB">
        <w:rPr>
          <w:color w:val="0000FF"/>
        </w:rPr>
        <w:t xml:space="preserve"> </w:t>
      </w:r>
      <w:bookmarkEnd w:id="4"/>
      <w:r w:rsidRPr="005513BB">
        <w:rPr>
          <w:color w:val="0000FF"/>
        </w:rPr>
        <w:t xml:space="preserve">is prepared, </w:t>
      </w:r>
      <w:r w:rsidRPr="005513BB">
        <w:rPr>
          <w:b/>
          <w:bCs/>
          <w:color w:val="0000FF"/>
        </w:rPr>
        <w:t>and</w:t>
      </w:r>
      <w:r w:rsidRPr="005513BB">
        <w:rPr>
          <w:color w:val="0000FF"/>
        </w:rPr>
        <w:t xml:space="preserve"> the project is a large-scale project with potentially substantial energy impacts</w:t>
      </w:r>
      <w:r w:rsidR="00D41864" w:rsidRPr="005513BB">
        <w:rPr>
          <w:color w:val="0000FF"/>
        </w:rPr>
        <w:t xml:space="preserve">.  </w:t>
      </w:r>
      <w:r w:rsidRPr="005513BB">
        <w:rPr>
          <w:color w:val="0000FF"/>
        </w:rPr>
        <w:t xml:space="preserve">For an EIS that is not a large-scale project with potentially substantial energy impacts, an EAR with a combination of qualitative and quantitative analysis or a Technical Memo is sufficient. </w:t>
      </w:r>
    </w:p>
    <w:p w14:paraId="477C61FD" w14:textId="5E56314E" w:rsidR="00B24A14" w:rsidRPr="005513BB" w:rsidRDefault="00B24A14" w:rsidP="005513BB">
      <w:pPr>
        <w:pStyle w:val="ListParagraph"/>
        <w:numPr>
          <w:ilvl w:val="0"/>
          <w:numId w:val="5"/>
        </w:numPr>
        <w:rPr>
          <w:color w:val="0000FF"/>
        </w:rPr>
      </w:pPr>
      <w:r w:rsidRPr="005513BB">
        <w:rPr>
          <w:color w:val="0000FF"/>
        </w:rPr>
        <w:t xml:space="preserve">For CEQA, an EAR with a quantitative energy analysis is required for projects that require an </w:t>
      </w:r>
      <w:bookmarkStart w:id="5" w:name="_Hlk151379163"/>
      <w:r w:rsidRPr="005513BB">
        <w:rPr>
          <w:color w:val="0000FF"/>
        </w:rPr>
        <w:t xml:space="preserve">Environmental Impact Report (EIR) </w:t>
      </w:r>
      <w:bookmarkEnd w:id="5"/>
      <w:r w:rsidRPr="005513BB">
        <w:rPr>
          <w:color w:val="0000FF"/>
        </w:rPr>
        <w:t xml:space="preserve">or </w:t>
      </w:r>
      <w:bookmarkStart w:id="6" w:name="_Hlk151379167"/>
      <w:r w:rsidRPr="005513BB">
        <w:rPr>
          <w:color w:val="0000FF"/>
        </w:rPr>
        <w:t xml:space="preserve">Initial Study/Negative Declaration/Mitigated Negative Declaration (IS/ND/MND) </w:t>
      </w:r>
      <w:bookmarkEnd w:id="6"/>
      <w:r w:rsidRPr="005513BB">
        <w:rPr>
          <w:b/>
          <w:bCs/>
          <w:color w:val="0000FF"/>
        </w:rPr>
        <w:t>and</w:t>
      </w:r>
      <w:r w:rsidRPr="005513BB">
        <w:rPr>
          <w:color w:val="0000FF"/>
        </w:rPr>
        <w:t xml:space="preserve"> relieve congestion or increase capacity</w:t>
      </w:r>
      <w:r w:rsidR="00D41864" w:rsidRPr="005513BB">
        <w:rPr>
          <w:color w:val="0000FF"/>
        </w:rPr>
        <w:t xml:space="preserve">.  </w:t>
      </w:r>
      <w:r w:rsidRPr="005513BB">
        <w:rPr>
          <w:color w:val="0000FF"/>
        </w:rPr>
        <w:t>For non-capacity</w:t>
      </w:r>
      <w:r w:rsidR="003D1CE7">
        <w:rPr>
          <w:color w:val="0000FF"/>
        </w:rPr>
        <w:t>-</w:t>
      </w:r>
      <w:r w:rsidRPr="005513BB">
        <w:rPr>
          <w:color w:val="0000FF"/>
        </w:rPr>
        <w:t>increasing and non-congestion</w:t>
      </w:r>
      <w:r w:rsidR="003D1CE7">
        <w:rPr>
          <w:color w:val="0000FF"/>
        </w:rPr>
        <w:t>-</w:t>
      </w:r>
      <w:r w:rsidRPr="005513BB">
        <w:rPr>
          <w:color w:val="0000FF"/>
        </w:rPr>
        <w:t>relief projects that require an EIR or IS/ND/MND, an EAR with a combination</w:t>
      </w:r>
      <w:r w:rsidR="00785498">
        <w:rPr>
          <w:color w:val="0000FF"/>
        </w:rPr>
        <w:t xml:space="preserve"> of</w:t>
      </w:r>
      <w:r w:rsidRPr="005513BB">
        <w:rPr>
          <w:color w:val="0000FF"/>
        </w:rPr>
        <w:t xml:space="preserve"> qualitative and quantitative analysis or a Technical Memo is sufficient. </w:t>
      </w:r>
    </w:p>
    <w:p w14:paraId="057558F2" w14:textId="067479AA" w:rsidR="00B24A14" w:rsidRDefault="00842915" w:rsidP="00B24A14">
      <w:pPr>
        <w:rPr>
          <w:color w:val="0000FF"/>
        </w:rPr>
      </w:pPr>
      <w:r>
        <w:rPr>
          <w:color w:val="0000FF"/>
        </w:rPr>
        <w:t xml:space="preserve">Refer to the SER, Volume 1, </w:t>
      </w:r>
      <w:hyperlink r:id="rId10" w:history="1">
        <w:r w:rsidRPr="0030512A">
          <w:rPr>
            <w:rStyle w:val="Hyperlink"/>
          </w:rPr>
          <w:t xml:space="preserve">Chapter 13, </w:t>
        </w:r>
        <w:r w:rsidRPr="0030512A">
          <w:rPr>
            <w:rStyle w:val="Hyperlink"/>
            <w:i/>
            <w:iCs/>
          </w:rPr>
          <w:t>Energy</w:t>
        </w:r>
      </w:hyperlink>
      <w:r w:rsidR="00785498">
        <w:rPr>
          <w:rStyle w:val="Hyperlink"/>
          <w:i/>
          <w:iCs/>
        </w:rPr>
        <w:t>,</w:t>
      </w:r>
      <w:r>
        <w:rPr>
          <w:color w:val="0000FF"/>
        </w:rPr>
        <w:t xml:space="preserve"> and the </w:t>
      </w:r>
      <w:hyperlink r:id="rId11" w:anchor="energy-analysis" w:history="1">
        <w:r w:rsidRPr="007D7AF5">
          <w:rPr>
            <w:rStyle w:val="Hyperlink"/>
          </w:rPr>
          <w:t>Energy Analysis Report Decision Tree</w:t>
        </w:r>
      </w:hyperlink>
      <w:r>
        <w:rPr>
          <w:color w:val="0000FF"/>
        </w:rPr>
        <w:t xml:space="preserve"> for additional information.</w:t>
      </w:r>
      <w:r w:rsidR="007D7AF5">
        <w:rPr>
          <w:color w:val="0000FF"/>
        </w:rPr>
        <w:t xml:space="preserve"> </w:t>
      </w:r>
    </w:p>
    <w:p w14:paraId="2B6863D6" w14:textId="3435405A" w:rsidR="00F34479" w:rsidRDefault="00536BD9" w:rsidP="00B24A14">
      <w:pPr>
        <w:rPr>
          <w:color w:val="0000FF"/>
        </w:rPr>
      </w:pPr>
      <w:r>
        <w:rPr>
          <w:color w:val="0000FF"/>
        </w:rPr>
        <w:t>T</w:t>
      </w:r>
      <w:r w:rsidRPr="00536BD9">
        <w:rPr>
          <w:color w:val="0000FF"/>
        </w:rPr>
        <w:t xml:space="preserve">here are no specific preparer qualifications for an </w:t>
      </w:r>
      <w:r>
        <w:rPr>
          <w:color w:val="0000FF"/>
        </w:rPr>
        <w:t>EAR</w:t>
      </w:r>
      <w:r w:rsidR="00D41864">
        <w:rPr>
          <w:color w:val="0000FF"/>
        </w:rPr>
        <w:t xml:space="preserve">.  </w:t>
      </w:r>
      <w:r>
        <w:rPr>
          <w:color w:val="0000FF"/>
        </w:rPr>
        <w:t>However, b</w:t>
      </w:r>
      <w:r w:rsidRPr="00536BD9">
        <w:rPr>
          <w:color w:val="0000FF"/>
        </w:rPr>
        <w:t xml:space="preserve">ecause of the overlap in data needs between the Air Quality Report (AQR) and the </w:t>
      </w:r>
      <w:r>
        <w:rPr>
          <w:color w:val="0000FF"/>
        </w:rPr>
        <w:t>energy analysis</w:t>
      </w:r>
      <w:r w:rsidRPr="00536BD9">
        <w:rPr>
          <w:color w:val="0000FF"/>
        </w:rPr>
        <w:t xml:space="preserve">, the </w:t>
      </w:r>
      <w:r>
        <w:rPr>
          <w:color w:val="0000FF"/>
        </w:rPr>
        <w:t>EAR</w:t>
      </w:r>
      <w:r w:rsidRPr="00536BD9">
        <w:rPr>
          <w:color w:val="0000FF"/>
        </w:rPr>
        <w:t xml:space="preserve"> may be best prepared by an environmental engineer</w:t>
      </w:r>
      <w:r w:rsidR="00D41864">
        <w:rPr>
          <w:color w:val="0000FF"/>
        </w:rPr>
        <w:t xml:space="preserve">.  </w:t>
      </w:r>
      <w:r w:rsidR="00C5082F">
        <w:rPr>
          <w:color w:val="0000FF"/>
        </w:rPr>
        <w:t xml:space="preserve">The EAR preparer should </w:t>
      </w:r>
      <w:r w:rsidR="00C5082F" w:rsidRPr="00C5082F">
        <w:rPr>
          <w:color w:val="0000FF"/>
        </w:rPr>
        <w:t xml:space="preserve">work with the Environmental Generalist/Planner on data gathering </w:t>
      </w:r>
      <w:r w:rsidR="00C5082F">
        <w:rPr>
          <w:color w:val="0000FF"/>
        </w:rPr>
        <w:t>and to obtain the project description and p</w:t>
      </w:r>
      <w:r w:rsidR="00C5082F" w:rsidRPr="00C5082F">
        <w:rPr>
          <w:color w:val="0000FF"/>
        </w:rPr>
        <w:t xml:space="preserve">urpose and need.  The level of analysis shall be commensurate with the </w:t>
      </w:r>
      <w:r w:rsidR="00894E92" w:rsidRPr="00894E92">
        <w:rPr>
          <w:color w:val="0000FF"/>
        </w:rPr>
        <w:t>project’s potential for energy impacts</w:t>
      </w:r>
      <w:r w:rsidR="00C5082F">
        <w:rPr>
          <w:color w:val="0000FF"/>
        </w:rPr>
        <w:t>.</w:t>
      </w:r>
    </w:p>
    <w:p w14:paraId="6389158D" w14:textId="6B0FD13B" w:rsidR="003B321F" w:rsidRPr="003B321F" w:rsidRDefault="006A03FD" w:rsidP="003B321F">
      <w:pPr>
        <w:rPr>
          <w:color w:val="0000FF"/>
        </w:rPr>
      </w:pPr>
      <w:r w:rsidRPr="006A03FD">
        <w:rPr>
          <w:color w:val="0000FF"/>
        </w:rPr>
        <w:t>This template has been set up to assist with creating a</w:t>
      </w:r>
      <w:r w:rsidR="00045857">
        <w:rPr>
          <w:color w:val="0000FF"/>
        </w:rPr>
        <w:t xml:space="preserve">n EAR </w:t>
      </w:r>
      <w:r w:rsidRPr="006A03FD">
        <w:rPr>
          <w:color w:val="0000FF"/>
        </w:rPr>
        <w:t>that is compliant with the ADA</w:t>
      </w:r>
      <w:r w:rsidR="00D41864" w:rsidRPr="006A03FD">
        <w:rPr>
          <w:color w:val="0000FF"/>
        </w:rPr>
        <w:t>.</w:t>
      </w:r>
      <w:r w:rsidR="00D41864">
        <w:rPr>
          <w:color w:val="0000FF"/>
        </w:rPr>
        <w:t xml:space="preserve">  </w:t>
      </w:r>
      <w:r w:rsidR="00995951" w:rsidRPr="00995951">
        <w:rPr>
          <w:color w:val="0000FF"/>
        </w:rPr>
        <w:t xml:space="preserve">For assistive technology users, form fields have been used to alert you to where </w:t>
      </w:r>
      <w:r w:rsidR="00995951" w:rsidRPr="00995951">
        <w:rPr>
          <w:color w:val="0000FF"/>
        </w:rPr>
        <w:lastRenderedPageBreak/>
        <w:t>text needs to be inserted</w:t>
      </w:r>
      <w:bookmarkStart w:id="7" w:name="_Hlk43475499"/>
      <w:r w:rsidR="00D41864" w:rsidRPr="00995951">
        <w:rPr>
          <w:color w:val="0000FF"/>
        </w:rPr>
        <w:t xml:space="preserve">.  </w:t>
      </w:r>
      <w:r w:rsidR="003B321F" w:rsidRPr="003B321F">
        <w:rPr>
          <w:color w:val="0000FF"/>
        </w:rPr>
        <w:t>Colored text is</w:t>
      </w:r>
      <w:r w:rsidR="00045857">
        <w:rPr>
          <w:color w:val="0000FF"/>
        </w:rPr>
        <w:t xml:space="preserve"> also</w:t>
      </w:r>
      <w:r w:rsidR="003B321F" w:rsidRPr="003B321F">
        <w:rPr>
          <w:color w:val="0000FF"/>
        </w:rPr>
        <w:t xml:space="preserve"> used to convey meanings throughout the template.  The definitions of the colored text are below.</w:t>
      </w:r>
    </w:p>
    <w:bookmarkEnd w:id="7"/>
    <w:p w14:paraId="1D0CAF52" w14:textId="77777777" w:rsidR="003B321F" w:rsidRPr="003B321F" w:rsidRDefault="003B321F" w:rsidP="003B321F">
      <w:pPr>
        <w:rPr>
          <w:color w:val="0000FF"/>
        </w:rPr>
      </w:pPr>
      <w:r w:rsidRPr="003B321F">
        <w:rPr>
          <w:color w:val="0000FF"/>
        </w:rPr>
        <w:t>Text key:</w:t>
      </w:r>
    </w:p>
    <w:p w14:paraId="0AAEA240" w14:textId="77777777" w:rsidR="003B321F" w:rsidRPr="003B321F" w:rsidRDefault="003B321F" w:rsidP="003B321F">
      <w:pPr>
        <w:numPr>
          <w:ilvl w:val="0"/>
          <w:numId w:val="6"/>
        </w:numPr>
        <w:rPr>
          <w:color w:val="000000" w:themeColor="text1"/>
        </w:rPr>
      </w:pPr>
      <w:bookmarkStart w:id="8" w:name="_Hlk43472837"/>
      <w:r w:rsidRPr="003B321F">
        <w:rPr>
          <w:color w:val="000000" w:themeColor="text1"/>
        </w:rPr>
        <w:t>Black text = required headings.</w:t>
      </w:r>
    </w:p>
    <w:p w14:paraId="68933356" w14:textId="2FA5B3EF" w:rsidR="003B321F" w:rsidRPr="003B321F" w:rsidRDefault="003B321F" w:rsidP="003B321F">
      <w:pPr>
        <w:numPr>
          <w:ilvl w:val="0"/>
          <w:numId w:val="6"/>
        </w:numPr>
        <w:rPr>
          <w:color w:val="0000FF"/>
        </w:rPr>
      </w:pPr>
      <w:r w:rsidRPr="003B321F">
        <w:rPr>
          <w:color w:val="0000FF"/>
        </w:rPr>
        <w:t>Blue text = guidance text and instructions to be considered and deleted from the final document.</w:t>
      </w:r>
    </w:p>
    <w:p w14:paraId="72254C05" w14:textId="7FDD9D99" w:rsidR="003B321F" w:rsidRPr="003B321F" w:rsidRDefault="003B321F" w:rsidP="003B321F">
      <w:pPr>
        <w:numPr>
          <w:ilvl w:val="0"/>
          <w:numId w:val="6"/>
        </w:numPr>
        <w:rPr>
          <w:color w:val="A50021" w:themeColor="accent2"/>
        </w:rPr>
      </w:pPr>
      <w:r w:rsidRPr="003B321F">
        <w:rPr>
          <w:color w:val="A50021" w:themeColor="accent2"/>
        </w:rPr>
        <w:t>Red text = boilerplate text to be inserted into document, as appropriate.</w:t>
      </w:r>
    </w:p>
    <w:p w14:paraId="1BE25D98" w14:textId="154C2638" w:rsidR="003B321F" w:rsidRPr="003B321F" w:rsidRDefault="003B321F" w:rsidP="003B321F">
      <w:pPr>
        <w:numPr>
          <w:ilvl w:val="0"/>
          <w:numId w:val="6"/>
        </w:numPr>
        <w:rPr>
          <w:color w:val="800080" w:themeColor="accent3"/>
        </w:rPr>
      </w:pPr>
      <w:r w:rsidRPr="003B321F">
        <w:rPr>
          <w:color w:val="800080" w:themeColor="accent3"/>
        </w:rPr>
        <w:t xml:space="preserve">Purple text = </w:t>
      </w:r>
      <w:r w:rsidR="00506C3F">
        <w:rPr>
          <w:color w:val="800080" w:themeColor="accent3"/>
        </w:rPr>
        <w:t>example</w:t>
      </w:r>
      <w:r w:rsidR="00506C3F" w:rsidRPr="003B321F">
        <w:rPr>
          <w:color w:val="800080" w:themeColor="accent3"/>
        </w:rPr>
        <w:t xml:space="preserve"> </w:t>
      </w:r>
      <w:r w:rsidRPr="003B321F">
        <w:rPr>
          <w:color w:val="800080" w:themeColor="accent3"/>
        </w:rPr>
        <w:t xml:space="preserve">text that can be used and edited in </w:t>
      </w:r>
      <w:r w:rsidR="001A3503">
        <w:rPr>
          <w:color w:val="800080" w:themeColor="accent3"/>
        </w:rPr>
        <w:t xml:space="preserve">the </w:t>
      </w:r>
      <w:r w:rsidRPr="003B321F">
        <w:rPr>
          <w:color w:val="800080" w:themeColor="accent3"/>
        </w:rPr>
        <w:t>document, as appropriate.</w:t>
      </w:r>
    </w:p>
    <w:p w14:paraId="25002D81" w14:textId="53DB11AC" w:rsidR="003B321F" w:rsidRPr="003B321F" w:rsidRDefault="003B321F" w:rsidP="003B321F">
      <w:pPr>
        <w:numPr>
          <w:ilvl w:val="0"/>
          <w:numId w:val="6"/>
        </w:numPr>
        <w:rPr>
          <w:color w:val="0000FF"/>
        </w:rPr>
      </w:pPr>
      <w:r w:rsidRPr="003B321F">
        <w:rPr>
          <w:color w:val="0000FF"/>
          <w:u w:val="single"/>
        </w:rPr>
        <w:t>Underlined text</w:t>
      </w:r>
      <w:r w:rsidRPr="003B321F">
        <w:rPr>
          <w:color w:val="0000FF"/>
        </w:rPr>
        <w:t xml:space="preserve"> (regardless of text color) = </w:t>
      </w:r>
      <w:r w:rsidR="00D8591B">
        <w:rPr>
          <w:color w:val="0000FF"/>
        </w:rPr>
        <w:t>i</w:t>
      </w:r>
      <w:r w:rsidRPr="003B321F">
        <w:rPr>
          <w:color w:val="0000FF"/>
        </w:rPr>
        <w:t xml:space="preserve">nternet web links. </w:t>
      </w:r>
    </w:p>
    <w:bookmarkEnd w:id="8"/>
    <w:p w14:paraId="26B17E8D" w14:textId="2BAE657D" w:rsidR="00F855BB" w:rsidRPr="00F855BB" w:rsidRDefault="00A62B15" w:rsidP="00F855BB">
      <w:pPr>
        <w:rPr>
          <w:color w:val="0000FF"/>
        </w:rPr>
      </w:pPr>
      <w:r>
        <w:rPr>
          <w:color w:val="0000FF"/>
        </w:rPr>
        <w:t>If this d</w:t>
      </w:r>
      <w:r w:rsidR="00F855BB" w:rsidRPr="00F855BB">
        <w:rPr>
          <w:color w:val="0000FF"/>
        </w:rPr>
        <w:t xml:space="preserve">ocument will be converted to </w:t>
      </w:r>
      <w:r>
        <w:rPr>
          <w:color w:val="0000FF"/>
        </w:rPr>
        <w:t xml:space="preserve">a </w:t>
      </w:r>
      <w:r w:rsidR="00F855BB" w:rsidRPr="00F855BB">
        <w:rPr>
          <w:color w:val="0000FF"/>
        </w:rPr>
        <w:t>PDF and posted on the Caltrans internet</w:t>
      </w:r>
      <w:r>
        <w:rPr>
          <w:color w:val="0000FF"/>
        </w:rPr>
        <w:t>, it</w:t>
      </w:r>
      <w:r w:rsidR="00F855BB" w:rsidRPr="00F855BB">
        <w:rPr>
          <w:color w:val="0000FF"/>
        </w:rPr>
        <w:t xml:space="preserve"> must pass the PDF Accessibility Checker 3 (PAC 3)</w:t>
      </w:r>
      <w:r w:rsidR="00D41864" w:rsidRPr="00F855BB">
        <w:rPr>
          <w:color w:val="0000FF"/>
        </w:rPr>
        <w:t xml:space="preserve">.  </w:t>
      </w:r>
      <w:r w:rsidR="00F855BB" w:rsidRPr="00F855BB">
        <w:rPr>
          <w:color w:val="0000FF"/>
        </w:rPr>
        <w:t>This template has been formatted to assist with final PAC 3 compliance.</w:t>
      </w:r>
      <w:r w:rsidR="008A7A4E">
        <w:rPr>
          <w:color w:val="0000FF"/>
        </w:rPr>
        <w:t xml:space="preserve"> </w:t>
      </w:r>
      <w:r>
        <w:rPr>
          <w:color w:val="0000FF"/>
        </w:rPr>
        <w:t xml:space="preserve"> Please see the formatting tips in the Environmental Document </w:t>
      </w:r>
      <w:hyperlink r:id="rId12" w:anchor="templates" w:history="1">
        <w:r w:rsidRPr="00A62B15">
          <w:rPr>
            <w:rStyle w:val="Hyperlink"/>
          </w:rPr>
          <w:t>Writing Templates</w:t>
        </w:r>
      </w:hyperlink>
      <w:r>
        <w:rPr>
          <w:color w:val="0000FF"/>
        </w:rPr>
        <w:t xml:space="preserve"> to create an ADA</w:t>
      </w:r>
      <w:r w:rsidR="00785498">
        <w:rPr>
          <w:color w:val="0000FF"/>
        </w:rPr>
        <w:t>-</w:t>
      </w:r>
      <w:r>
        <w:rPr>
          <w:color w:val="0000FF"/>
        </w:rPr>
        <w:t>compliant document</w:t>
      </w:r>
      <w:r w:rsidR="00F855BB" w:rsidRPr="00F855BB">
        <w:rPr>
          <w:color w:val="0000FF"/>
        </w:rPr>
        <w:t>.</w:t>
      </w:r>
    </w:p>
    <w:p w14:paraId="10E8BFBA" w14:textId="09C803E6" w:rsidR="007073AD" w:rsidRPr="007073AD" w:rsidRDefault="007073AD" w:rsidP="007073AD">
      <w:pPr>
        <w:rPr>
          <w:color w:val="0000FF"/>
        </w:rPr>
      </w:pPr>
    </w:p>
    <w:p w14:paraId="50605930" w14:textId="4C100A47" w:rsidR="005122EF" w:rsidRDefault="005122EF" w:rsidP="00FF2253">
      <w:pPr>
        <w:rPr>
          <w:color w:val="0000FF"/>
        </w:rPr>
      </w:pPr>
    </w:p>
    <w:p w14:paraId="6675CBCB" w14:textId="77777777" w:rsidR="006805DB" w:rsidRDefault="006805DB" w:rsidP="006805DB">
      <w:pPr>
        <w:rPr>
          <w:rFonts w:eastAsia="Calibri" w:cs="Times New Roman"/>
          <w:szCs w:val="22"/>
        </w:rPr>
      </w:pPr>
    </w:p>
    <w:p w14:paraId="71AF6DF8" w14:textId="77777777" w:rsidR="006805DB" w:rsidRDefault="006805DB" w:rsidP="00EA56B5">
      <w:pPr>
        <w:jc w:val="center"/>
        <w:rPr>
          <w:rFonts w:eastAsia="Calibri" w:cs="Times New Roman"/>
          <w:szCs w:val="22"/>
        </w:rPr>
        <w:sectPr w:rsidR="006805DB" w:rsidSect="00203664">
          <w:pgSz w:w="12240" w:h="15840"/>
          <w:pgMar w:top="1440" w:right="1440" w:bottom="1440" w:left="1440" w:header="720" w:footer="720" w:gutter="0"/>
          <w:cols w:space="720"/>
          <w:docGrid w:linePitch="360"/>
        </w:sectPr>
      </w:pPr>
    </w:p>
    <w:p w14:paraId="05D7B3D2" w14:textId="77777777" w:rsidR="00C55A75" w:rsidRPr="004116CE" w:rsidRDefault="00C55A75" w:rsidP="00B33596">
      <w:pPr>
        <w:spacing w:before="1440" w:after="720"/>
        <w:jc w:val="center"/>
        <w:rPr>
          <w:rFonts w:eastAsia="Calibri" w:cs="Times New Roman"/>
          <w:b/>
          <w:bCs/>
          <w:sz w:val="48"/>
          <w:szCs w:val="48"/>
        </w:rPr>
      </w:pPr>
      <w:bookmarkStart w:id="9" w:name="_Hlk61530324"/>
      <w:bookmarkStart w:id="10" w:name="_Hlk66973053"/>
      <w:r w:rsidRPr="004116CE">
        <w:rPr>
          <w:rFonts w:eastAsia="Calibri" w:cs="Times New Roman"/>
          <w:b/>
          <w:bCs/>
          <w:sz w:val="48"/>
          <w:szCs w:val="48"/>
        </w:rPr>
        <w:lastRenderedPageBreak/>
        <w:t>Energy Analysis Report</w:t>
      </w:r>
    </w:p>
    <w:bookmarkEnd w:id="9"/>
    <w:p w14:paraId="16812769" w14:textId="24944F61" w:rsidR="00C55A75" w:rsidRPr="00892BB0" w:rsidRDefault="00C55A75" w:rsidP="00C25ED4">
      <w:pPr>
        <w:spacing w:after="480"/>
        <w:jc w:val="center"/>
        <w:rPr>
          <w:rFonts w:eastAsia="Calibri" w:cs="Times New Roman"/>
          <w:sz w:val="32"/>
          <w:szCs w:val="32"/>
        </w:rPr>
      </w:pPr>
      <w:r w:rsidRPr="00892BB0">
        <w:rPr>
          <w:rFonts w:eastAsia="Calibri" w:cs="Times New Roman"/>
          <w:sz w:val="32"/>
          <w:szCs w:val="32"/>
        </w:rPr>
        <w:fldChar w:fldCharType="begin">
          <w:ffData>
            <w:name w:val=""/>
            <w:enabled/>
            <w:calcOnExit w:val="0"/>
            <w:textInput>
              <w:default w:val="Enter Project Title"/>
            </w:textInput>
          </w:ffData>
        </w:fldChar>
      </w:r>
      <w:r w:rsidRPr="00892BB0">
        <w:rPr>
          <w:rFonts w:eastAsia="Calibri" w:cs="Times New Roman"/>
          <w:sz w:val="32"/>
          <w:szCs w:val="32"/>
        </w:rPr>
        <w:instrText xml:space="preserve"> FORMTEXT </w:instrText>
      </w:r>
      <w:r w:rsidRPr="00892BB0">
        <w:rPr>
          <w:rFonts w:eastAsia="Calibri" w:cs="Times New Roman"/>
          <w:sz w:val="32"/>
          <w:szCs w:val="32"/>
        </w:rPr>
      </w:r>
      <w:r w:rsidRPr="00892BB0">
        <w:rPr>
          <w:rFonts w:eastAsia="Calibri" w:cs="Times New Roman"/>
          <w:sz w:val="32"/>
          <w:szCs w:val="32"/>
        </w:rPr>
        <w:fldChar w:fldCharType="separate"/>
      </w:r>
      <w:r w:rsidRPr="00892BB0">
        <w:rPr>
          <w:rFonts w:eastAsia="Calibri" w:cs="Times New Roman"/>
          <w:noProof/>
          <w:sz w:val="32"/>
          <w:szCs w:val="32"/>
        </w:rPr>
        <w:t>Enter Project Title</w:t>
      </w:r>
      <w:r w:rsidRPr="00892BB0">
        <w:rPr>
          <w:rFonts w:eastAsia="Calibri" w:cs="Times New Roman"/>
          <w:sz w:val="32"/>
          <w:szCs w:val="32"/>
        </w:rPr>
        <w:fldChar w:fldCharType="end"/>
      </w:r>
    </w:p>
    <w:p w14:paraId="2E6189F3" w14:textId="3D4A1C18" w:rsidR="00242CEC" w:rsidRPr="004116CE" w:rsidRDefault="006D00B0" w:rsidP="00C25ED4">
      <w:pPr>
        <w:spacing w:after="120"/>
        <w:jc w:val="center"/>
        <w:rPr>
          <w:rFonts w:eastAsia="Calibri" w:cs="Times New Roman"/>
          <w:sz w:val="28"/>
          <w:szCs w:val="28"/>
        </w:rPr>
      </w:pPr>
      <w:r>
        <w:rPr>
          <w:rFonts w:eastAsia="Calibri" w:cs="Times New Roman"/>
          <w:sz w:val="28"/>
          <w:szCs w:val="28"/>
        </w:rPr>
        <w:fldChar w:fldCharType="begin">
          <w:ffData>
            <w:name w:val="Text17"/>
            <w:enabled/>
            <w:calcOnExit w:val="0"/>
            <w:textInput>
              <w:default w:val="Enter general location information"/>
            </w:textInput>
          </w:ffData>
        </w:fldChar>
      </w:r>
      <w:bookmarkStart w:id="11" w:name="Text17"/>
      <w:r>
        <w:rPr>
          <w:rFonts w:eastAsia="Calibri" w:cs="Times New Roman"/>
          <w:sz w:val="28"/>
          <w:szCs w:val="28"/>
        </w:rPr>
        <w:instrText xml:space="preserve"> FORMTEXT </w:instrText>
      </w:r>
      <w:r>
        <w:rPr>
          <w:rFonts w:eastAsia="Calibri" w:cs="Times New Roman"/>
          <w:sz w:val="28"/>
          <w:szCs w:val="28"/>
        </w:rPr>
      </w:r>
      <w:r>
        <w:rPr>
          <w:rFonts w:eastAsia="Calibri" w:cs="Times New Roman"/>
          <w:sz w:val="28"/>
          <w:szCs w:val="28"/>
        </w:rPr>
        <w:fldChar w:fldCharType="separate"/>
      </w:r>
      <w:r>
        <w:rPr>
          <w:rFonts w:eastAsia="Calibri" w:cs="Times New Roman"/>
          <w:noProof/>
          <w:sz w:val="28"/>
          <w:szCs w:val="28"/>
        </w:rPr>
        <w:t>Enter general location information</w:t>
      </w:r>
      <w:r>
        <w:rPr>
          <w:rFonts w:eastAsia="Calibri" w:cs="Times New Roman"/>
          <w:sz w:val="28"/>
          <w:szCs w:val="28"/>
        </w:rPr>
        <w:fldChar w:fldCharType="end"/>
      </w:r>
      <w:bookmarkEnd w:id="11"/>
    </w:p>
    <w:p w14:paraId="15BF47EC" w14:textId="77777777" w:rsidR="00C55A75" w:rsidRPr="004116CE" w:rsidRDefault="00C55A75" w:rsidP="00C55A75">
      <w:pPr>
        <w:spacing w:after="0"/>
        <w:jc w:val="center"/>
        <w:rPr>
          <w:rFonts w:eastAsia="Calibri" w:cs="Times New Roman"/>
          <w:sz w:val="28"/>
          <w:szCs w:val="28"/>
        </w:rPr>
      </w:pPr>
      <w:r w:rsidRPr="004116CE">
        <w:rPr>
          <w:rFonts w:eastAsia="Calibri" w:cs="Times New Roman"/>
          <w:sz w:val="28"/>
          <w:szCs w:val="28"/>
        </w:rPr>
        <w:fldChar w:fldCharType="begin">
          <w:ffData>
            <w:name w:val="Text63"/>
            <w:enabled/>
            <w:calcOnExit w:val="0"/>
            <w:textInput>
              <w:default w:val="Enter district-county-route-postmiles"/>
            </w:textInput>
          </w:ffData>
        </w:fldChar>
      </w:r>
      <w:bookmarkStart w:id="12" w:name="Text63"/>
      <w:r w:rsidRPr="004116CE">
        <w:rPr>
          <w:rFonts w:eastAsia="Calibri" w:cs="Times New Roman"/>
          <w:sz w:val="28"/>
          <w:szCs w:val="28"/>
        </w:rPr>
        <w:instrText xml:space="preserve"> FORMTEXT </w:instrText>
      </w:r>
      <w:r w:rsidRPr="004116CE">
        <w:rPr>
          <w:rFonts w:eastAsia="Calibri" w:cs="Times New Roman"/>
          <w:sz w:val="28"/>
          <w:szCs w:val="28"/>
        </w:rPr>
      </w:r>
      <w:r w:rsidRPr="004116CE">
        <w:rPr>
          <w:rFonts w:eastAsia="Calibri" w:cs="Times New Roman"/>
          <w:sz w:val="28"/>
          <w:szCs w:val="28"/>
        </w:rPr>
        <w:fldChar w:fldCharType="separate"/>
      </w:r>
      <w:r w:rsidRPr="004116CE">
        <w:rPr>
          <w:rFonts w:eastAsia="Calibri" w:cs="Times New Roman"/>
          <w:noProof/>
          <w:sz w:val="28"/>
          <w:szCs w:val="28"/>
        </w:rPr>
        <w:t>Enter district-county-route-postmiles</w:t>
      </w:r>
      <w:r w:rsidRPr="004116CE">
        <w:rPr>
          <w:rFonts w:eastAsia="Calibri" w:cs="Times New Roman"/>
          <w:sz w:val="28"/>
          <w:szCs w:val="28"/>
        </w:rPr>
        <w:fldChar w:fldCharType="end"/>
      </w:r>
      <w:bookmarkEnd w:id="12"/>
    </w:p>
    <w:p w14:paraId="6636DD42" w14:textId="5C06231F" w:rsidR="00C55A75" w:rsidRPr="004116CE" w:rsidRDefault="00C55A75" w:rsidP="00C25ED4">
      <w:pPr>
        <w:spacing w:after="480"/>
        <w:jc w:val="center"/>
        <w:rPr>
          <w:rFonts w:eastAsia="Calibri" w:cs="Times New Roman"/>
          <w:sz w:val="28"/>
          <w:szCs w:val="28"/>
        </w:rPr>
      </w:pPr>
      <w:r w:rsidRPr="004116CE">
        <w:rPr>
          <w:rFonts w:eastAsia="Calibri" w:cs="Times New Roman"/>
          <w:sz w:val="28"/>
          <w:szCs w:val="28"/>
        </w:rPr>
        <w:fldChar w:fldCharType="begin">
          <w:ffData>
            <w:name w:val=""/>
            <w:enabled/>
            <w:calcOnExit w:val="0"/>
            <w:textInput>
              <w:default w:val="Enter EA/EFIS"/>
            </w:textInput>
          </w:ffData>
        </w:fldChar>
      </w:r>
      <w:r w:rsidRPr="004116CE">
        <w:rPr>
          <w:rFonts w:eastAsia="Calibri" w:cs="Times New Roman"/>
          <w:sz w:val="28"/>
          <w:szCs w:val="28"/>
        </w:rPr>
        <w:instrText xml:space="preserve"> FORMTEXT </w:instrText>
      </w:r>
      <w:r w:rsidRPr="004116CE">
        <w:rPr>
          <w:rFonts w:eastAsia="Calibri" w:cs="Times New Roman"/>
          <w:sz w:val="28"/>
          <w:szCs w:val="28"/>
        </w:rPr>
      </w:r>
      <w:r w:rsidRPr="004116CE">
        <w:rPr>
          <w:rFonts w:eastAsia="Calibri" w:cs="Times New Roman"/>
          <w:sz w:val="28"/>
          <w:szCs w:val="28"/>
        </w:rPr>
        <w:fldChar w:fldCharType="separate"/>
      </w:r>
      <w:r w:rsidRPr="004116CE">
        <w:rPr>
          <w:rFonts w:eastAsia="Calibri" w:cs="Times New Roman"/>
          <w:noProof/>
          <w:sz w:val="28"/>
          <w:szCs w:val="28"/>
        </w:rPr>
        <w:t>Enter EA/EFIS</w:t>
      </w:r>
      <w:r w:rsidRPr="004116CE">
        <w:rPr>
          <w:rFonts w:eastAsia="Calibri" w:cs="Times New Roman"/>
          <w:sz w:val="28"/>
          <w:szCs w:val="28"/>
        </w:rPr>
        <w:fldChar w:fldCharType="end"/>
      </w:r>
    </w:p>
    <w:p w14:paraId="727E46F5" w14:textId="7654C639" w:rsidR="00C55A75" w:rsidRPr="004116CE" w:rsidRDefault="00C55A75" w:rsidP="00C25ED4">
      <w:pPr>
        <w:spacing w:after="1800"/>
        <w:jc w:val="center"/>
        <w:rPr>
          <w:rFonts w:eastAsia="Calibri" w:cs="Times New Roman"/>
          <w:sz w:val="28"/>
          <w:szCs w:val="28"/>
        </w:rPr>
      </w:pPr>
      <w:r w:rsidRPr="004116CE">
        <w:rPr>
          <w:rFonts w:eastAsia="Calibri" w:cs="Times New Roman"/>
          <w:sz w:val="28"/>
          <w:szCs w:val="28"/>
        </w:rPr>
        <w:fldChar w:fldCharType="begin">
          <w:ffData>
            <w:name w:val=""/>
            <w:enabled/>
            <w:calcOnExit w:val="0"/>
            <w:textInput>
              <w:default w:val="Enter month and year"/>
            </w:textInput>
          </w:ffData>
        </w:fldChar>
      </w:r>
      <w:r w:rsidRPr="004116CE">
        <w:rPr>
          <w:rFonts w:eastAsia="Calibri" w:cs="Times New Roman"/>
          <w:sz w:val="28"/>
          <w:szCs w:val="28"/>
        </w:rPr>
        <w:instrText xml:space="preserve"> FORMTEXT </w:instrText>
      </w:r>
      <w:r w:rsidRPr="004116CE">
        <w:rPr>
          <w:rFonts w:eastAsia="Calibri" w:cs="Times New Roman"/>
          <w:sz w:val="28"/>
          <w:szCs w:val="28"/>
        </w:rPr>
      </w:r>
      <w:r w:rsidRPr="004116CE">
        <w:rPr>
          <w:rFonts w:eastAsia="Calibri" w:cs="Times New Roman"/>
          <w:sz w:val="28"/>
          <w:szCs w:val="28"/>
        </w:rPr>
        <w:fldChar w:fldCharType="separate"/>
      </w:r>
      <w:r w:rsidRPr="004116CE">
        <w:rPr>
          <w:rFonts w:eastAsia="Calibri" w:cs="Times New Roman"/>
          <w:noProof/>
          <w:sz w:val="28"/>
          <w:szCs w:val="28"/>
        </w:rPr>
        <w:t>Enter month and year</w:t>
      </w:r>
      <w:r w:rsidRPr="004116CE">
        <w:rPr>
          <w:rFonts w:eastAsia="Calibri" w:cs="Times New Roman"/>
          <w:sz w:val="28"/>
          <w:szCs w:val="28"/>
        </w:rPr>
        <w:fldChar w:fldCharType="end"/>
      </w:r>
    </w:p>
    <w:p w14:paraId="06B6A94F" w14:textId="0E02ADCA" w:rsidR="0034525F" w:rsidRDefault="00330CB8" w:rsidP="0034525F">
      <w:pPr>
        <w:tabs>
          <w:tab w:val="left" w:pos="6480"/>
        </w:tabs>
        <w:spacing w:after="0"/>
        <w:rPr>
          <w:rFonts w:eastAsia="Calibri" w:cs="Arial"/>
        </w:rPr>
      </w:pPr>
      <w:bookmarkStart w:id="13" w:name="_Hlk122629211"/>
      <w:r>
        <w:rPr>
          <w:rFonts w:eastAsia="Calibri" w:cs="Arial"/>
        </w:rPr>
        <w:t xml:space="preserve">Prepared By: </w:t>
      </w:r>
      <w:r w:rsidR="0034525F">
        <w:rPr>
          <w:rFonts w:eastAsia="Calibri" w:cs="Arial"/>
        </w:rPr>
        <w:t>____________________________</w:t>
      </w:r>
      <w:r w:rsidR="0034525F">
        <w:rPr>
          <w:rFonts w:eastAsia="Calibri" w:cs="Arial"/>
        </w:rPr>
        <w:tab/>
        <w:t>_______________</w:t>
      </w:r>
    </w:p>
    <w:p w14:paraId="2889E6C9" w14:textId="02656F57" w:rsidR="0034525F" w:rsidRPr="00BE497D" w:rsidRDefault="0034525F" w:rsidP="00330CB8">
      <w:pPr>
        <w:tabs>
          <w:tab w:val="left" w:pos="6480"/>
        </w:tabs>
        <w:spacing w:after="0"/>
        <w:ind w:left="144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34F87F0A" w14:textId="5B69C029" w:rsidR="00C85663" w:rsidRDefault="00C85663" w:rsidP="00330CB8">
      <w:pPr>
        <w:tabs>
          <w:tab w:val="left" w:pos="6480"/>
        </w:tabs>
        <w:spacing w:after="0"/>
        <w:ind w:left="1440"/>
        <w:rPr>
          <w:rFonts w:eastAsia="Calibri" w:cs="Arial"/>
        </w:rPr>
      </w:pPr>
      <w:r>
        <w:rPr>
          <w:rFonts w:eastAsia="Calibri" w:cs="Arial"/>
        </w:rPr>
        <w:fldChar w:fldCharType="begin">
          <w:ffData>
            <w:name w:val="Text64"/>
            <w:enabled/>
            <w:calcOnExit w:val="0"/>
            <w:textInput>
              <w:default w:val="Enter phone number"/>
            </w:textInput>
          </w:ffData>
        </w:fldChar>
      </w:r>
      <w:bookmarkStart w:id="14" w:name="Text64"/>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phone number</w:t>
      </w:r>
      <w:r>
        <w:rPr>
          <w:rFonts w:eastAsia="Calibri" w:cs="Arial"/>
        </w:rPr>
        <w:fldChar w:fldCharType="end"/>
      </w:r>
      <w:bookmarkEnd w:id="14"/>
    </w:p>
    <w:p w14:paraId="6ECACF49" w14:textId="44668867" w:rsidR="00C85663" w:rsidRDefault="00022864" w:rsidP="00C85663">
      <w:pPr>
        <w:tabs>
          <w:tab w:val="left" w:pos="6480"/>
        </w:tabs>
        <w:spacing w:after="0"/>
        <w:ind w:left="1440"/>
        <w:rPr>
          <w:rFonts w:eastAsia="Calibri" w:cs="Arial"/>
        </w:rPr>
      </w:pPr>
      <w:r>
        <w:rPr>
          <w:rFonts w:eastAsia="Calibri" w:cs="Arial"/>
        </w:rPr>
        <w:fldChar w:fldCharType="begin">
          <w:ffData>
            <w:name w:val=""/>
            <w:enabled/>
            <w:calcOnExit w:val="0"/>
            <w:textInput>
              <w:default w:val="Enter office name or consulting firm name"/>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office name or consulting firm name</w:t>
      </w:r>
      <w:r>
        <w:rPr>
          <w:rFonts w:eastAsia="Calibri" w:cs="Arial"/>
        </w:rPr>
        <w:fldChar w:fldCharType="end"/>
      </w:r>
    </w:p>
    <w:p w14:paraId="306DF8C5" w14:textId="15A610E6" w:rsidR="0034525F" w:rsidRDefault="00022864" w:rsidP="00330CB8">
      <w:pPr>
        <w:tabs>
          <w:tab w:val="left" w:pos="5041"/>
          <w:tab w:val="left" w:pos="6480"/>
        </w:tabs>
        <w:spacing w:after="480"/>
        <w:ind w:left="1440" w:right="-1238"/>
        <w:rPr>
          <w:rFonts w:eastAsia="Calibri" w:cs="Arial"/>
        </w:rPr>
      </w:pPr>
      <w:r>
        <w:rPr>
          <w:rFonts w:eastAsia="Calibri" w:cs="Arial"/>
        </w:rPr>
        <w:fldChar w:fldCharType="begin">
          <w:ffData>
            <w:name w:val=""/>
            <w:enabled/>
            <w:calcOnExit w:val="0"/>
            <w:textInput>
              <w:default w:val="Enter District/Region or consulting firm address"/>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District/Region or consulting firm address</w:t>
      </w:r>
      <w:r>
        <w:rPr>
          <w:rFonts w:eastAsia="Calibri" w:cs="Arial"/>
        </w:rPr>
        <w:fldChar w:fldCharType="end"/>
      </w:r>
    </w:p>
    <w:p w14:paraId="1805DC13" w14:textId="23D41CA2" w:rsidR="00F127DF" w:rsidRDefault="00330CB8" w:rsidP="00F127DF">
      <w:pPr>
        <w:tabs>
          <w:tab w:val="left" w:pos="6480"/>
        </w:tabs>
        <w:spacing w:after="0"/>
        <w:rPr>
          <w:rFonts w:eastAsia="Calibri" w:cs="Arial"/>
        </w:rPr>
      </w:pPr>
      <w:r>
        <w:rPr>
          <w:rFonts w:eastAsia="Calibri" w:cs="Arial"/>
        </w:rPr>
        <w:t xml:space="preserve">Approved By: </w:t>
      </w:r>
      <w:r w:rsidR="00F127DF">
        <w:rPr>
          <w:rFonts w:eastAsia="Calibri" w:cs="Arial"/>
        </w:rPr>
        <w:t>____________________________</w:t>
      </w:r>
      <w:r w:rsidR="00F127DF">
        <w:rPr>
          <w:rFonts w:eastAsia="Calibri" w:cs="Arial"/>
        </w:rPr>
        <w:tab/>
        <w:t>_______________</w:t>
      </w:r>
    </w:p>
    <w:p w14:paraId="33D88E42" w14:textId="77777777" w:rsidR="00F127DF" w:rsidRPr="00BE497D" w:rsidRDefault="00F127DF" w:rsidP="00330CB8">
      <w:pPr>
        <w:tabs>
          <w:tab w:val="left" w:pos="6480"/>
        </w:tabs>
        <w:spacing w:after="0"/>
        <w:ind w:left="144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bookmarkEnd w:id="13"/>
    <w:p w14:paraId="555707DF" w14:textId="77777777" w:rsidR="00C85663" w:rsidRDefault="00C85663" w:rsidP="00C85663">
      <w:pPr>
        <w:tabs>
          <w:tab w:val="left" w:pos="6480"/>
        </w:tabs>
        <w:spacing w:after="0"/>
        <w:ind w:left="1440"/>
        <w:rPr>
          <w:rFonts w:eastAsia="Calibri" w:cs="Arial"/>
        </w:rPr>
      </w:pPr>
      <w:r>
        <w:rPr>
          <w:rFonts w:eastAsia="Calibri" w:cs="Arial"/>
        </w:rPr>
        <w:fldChar w:fldCharType="begin">
          <w:ffData>
            <w:name w:val="Text64"/>
            <w:enabled/>
            <w:calcOnExit w:val="0"/>
            <w:textInput>
              <w:default w:val="Enter phone number"/>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phone number</w:t>
      </w:r>
      <w:r>
        <w:rPr>
          <w:rFonts w:eastAsia="Calibri" w:cs="Arial"/>
        </w:rPr>
        <w:fldChar w:fldCharType="end"/>
      </w:r>
    </w:p>
    <w:p w14:paraId="06D5CF54" w14:textId="77777777" w:rsidR="00C85663" w:rsidRDefault="00C85663" w:rsidP="00C85663">
      <w:pPr>
        <w:tabs>
          <w:tab w:val="left" w:pos="6480"/>
        </w:tabs>
        <w:spacing w:after="0"/>
        <w:ind w:left="1440"/>
        <w:rPr>
          <w:rFonts w:eastAsia="Calibri" w:cs="Arial"/>
        </w:rPr>
      </w:pPr>
      <w:r>
        <w:rPr>
          <w:rFonts w:eastAsia="Calibri" w:cs="Arial"/>
        </w:rPr>
        <w:fldChar w:fldCharType="begin">
          <w:ffData>
            <w:name w:val=""/>
            <w:enabled/>
            <w:calcOnExit w:val="0"/>
            <w:textInput>
              <w:default w:val="Enter office name"/>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office name</w:t>
      </w:r>
      <w:r>
        <w:rPr>
          <w:rFonts w:eastAsia="Calibri" w:cs="Arial"/>
        </w:rPr>
        <w:fldChar w:fldCharType="end"/>
      </w:r>
    </w:p>
    <w:p w14:paraId="537F90C6" w14:textId="77777777" w:rsidR="00C85663" w:rsidRDefault="00C85663" w:rsidP="00C85663">
      <w:pPr>
        <w:tabs>
          <w:tab w:val="left" w:pos="5041"/>
          <w:tab w:val="left" w:pos="6480"/>
        </w:tabs>
        <w:spacing w:after="480"/>
        <w:ind w:left="1440" w:right="-1238"/>
        <w:rPr>
          <w:rFonts w:eastAsia="Calibri" w:cs="Arial"/>
        </w:rPr>
      </w:pPr>
      <w:r>
        <w:rPr>
          <w:rFonts w:eastAsia="Calibri" w:cs="Arial"/>
        </w:rPr>
        <w:fldChar w:fldCharType="begin">
          <w:ffData>
            <w:name w:val=""/>
            <w:enabled/>
            <w:calcOnExit w:val="0"/>
            <w:textInput>
              <w:default w:val="Enter District/Region"/>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Enter District/Region</w:t>
      </w:r>
      <w:r>
        <w:rPr>
          <w:rFonts w:eastAsia="Calibri" w:cs="Arial"/>
        </w:rPr>
        <w:fldChar w:fldCharType="end"/>
      </w:r>
    </w:p>
    <w:bookmarkEnd w:id="10"/>
    <w:p w14:paraId="5F78E18C" w14:textId="69B2F7A4" w:rsidR="0099598E" w:rsidRPr="009029CB" w:rsidRDefault="009029CB" w:rsidP="009029CB">
      <w:pPr>
        <w:jc w:val="center"/>
      </w:pPr>
      <w:r w:rsidRPr="009029CB">
        <w:rPr>
          <w:rFonts w:ascii="Times New Roman" w:eastAsia="Calibri" w:hAnsi="Times New Roman" w:cs="Arial"/>
          <w:b/>
          <w:noProof/>
          <w:sz w:val="28"/>
          <w:szCs w:val="20"/>
        </w:rPr>
        <w:drawing>
          <wp:inline distT="0" distB="0" distL="0" distR="0" wp14:anchorId="11D34AE3" wp14:editId="6AF99834">
            <wp:extent cx="800100" cy="612176"/>
            <wp:effectExtent l="0" t="0" r="0" b="0"/>
            <wp:docPr id="1" name="Picture 1" descr="Caltran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1478" cy="651486"/>
                    </a:xfrm>
                    <a:prstGeom prst="rect">
                      <a:avLst/>
                    </a:prstGeom>
                  </pic:spPr>
                </pic:pic>
              </a:graphicData>
            </a:graphic>
          </wp:inline>
        </w:drawing>
      </w:r>
    </w:p>
    <w:p w14:paraId="149FD933" w14:textId="77777777" w:rsidR="009029CB" w:rsidRPr="009029CB" w:rsidRDefault="009029CB"/>
    <w:p w14:paraId="67DDEB7A" w14:textId="6F04578E" w:rsidR="009029CB" w:rsidRDefault="009029CB">
      <w:pPr>
        <w:rPr>
          <w:color w:val="0000FF"/>
        </w:rPr>
        <w:sectPr w:rsidR="009029CB" w:rsidSect="00203664">
          <w:footerReference w:type="default" r:id="rId14"/>
          <w:pgSz w:w="12240" w:h="15840"/>
          <w:pgMar w:top="1440" w:right="1440" w:bottom="1440" w:left="1440" w:header="720" w:footer="720" w:gutter="0"/>
          <w:pgNumType w:fmt="lowerRoman" w:start="1"/>
          <w:cols w:space="720"/>
          <w:docGrid w:linePitch="360"/>
        </w:sectPr>
      </w:pPr>
    </w:p>
    <w:p w14:paraId="58DE4B82" w14:textId="77777777" w:rsidR="004244CB" w:rsidRDefault="004244CB" w:rsidP="002B538B">
      <w:pPr>
        <w:pStyle w:val="IntroHeading1"/>
      </w:pPr>
      <w:bookmarkStart w:id="15" w:name="_Toc117166481"/>
      <w:bookmarkStart w:id="16" w:name="_Toc150334755"/>
      <w:bookmarkStart w:id="17" w:name="_Toc157429563"/>
      <w:r w:rsidRPr="004244CB">
        <w:lastRenderedPageBreak/>
        <w:t>Table of Contents</w:t>
      </w:r>
      <w:bookmarkEnd w:id="15"/>
      <w:bookmarkEnd w:id="16"/>
      <w:bookmarkEnd w:id="17"/>
    </w:p>
    <w:p w14:paraId="06261C00" w14:textId="67DCFE21" w:rsidR="000C2ACC" w:rsidRDefault="000C2ACC" w:rsidP="000C2ACC">
      <w:pPr>
        <w:pStyle w:val="IntroGuidanceHeading1"/>
      </w:pPr>
      <w:r>
        <w:t>GUIDANCE</w:t>
      </w:r>
    </w:p>
    <w:p w14:paraId="4D330824" w14:textId="06E12090" w:rsidR="000C2ACC" w:rsidRDefault="00D23719" w:rsidP="000C2ACC">
      <w:pPr>
        <w:rPr>
          <w:color w:val="0000FF" w:themeColor="accent1"/>
        </w:rPr>
      </w:pPr>
      <w:r w:rsidRPr="00D23719">
        <w:rPr>
          <w:color w:val="0000FF" w:themeColor="accent1"/>
        </w:rPr>
        <w:t>To update the table of contents (TOC), hover cursor over table and right click</w:t>
      </w:r>
      <w:r w:rsidR="00D41864" w:rsidRPr="00D23719">
        <w:rPr>
          <w:color w:val="0000FF" w:themeColor="accent1"/>
        </w:rPr>
        <w:t xml:space="preserve">.  </w:t>
      </w:r>
      <w:r w:rsidRPr="00D23719">
        <w:rPr>
          <w:color w:val="0000FF" w:themeColor="accent1"/>
        </w:rPr>
        <w:t>Choose update field and update entire table</w:t>
      </w:r>
      <w:r w:rsidR="00D41864" w:rsidRPr="00D23719">
        <w:rPr>
          <w:color w:val="0000FF" w:themeColor="accent1"/>
        </w:rPr>
        <w:t xml:space="preserve">.  </w:t>
      </w:r>
      <w:r w:rsidRPr="00D23719">
        <w:rPr>
          <w:color w:val="0000FF" w:themeColor="accent1"/>
        </w:rPr>
        <w:t>For topics not needed, or to modify a header, delete or edit the header in the body of the document and then update the TOC</w:t>
      </w:r>
      <w:r>
        <w:rPr>
          <w:color w:val="0000FF" w:themeColor="accent1"/>
        </w:rPr>
        <w:t>.</w:t>
      </w:r>
    </w:p>
    <w:p w14:paraId="6E8A3273" w14:textId="0DCA9FCF" w:rsidR="00C1543F" w:rsidRDefault="00E12AC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57429563" w:history="1">
        <w:r w:rsidR="00C1543F" w:rsidRPr="00C10705">
          <w:rPr>
            <w:rStyle w:val="Hyperlink"/>
            <w:noProof/>
          </w:rPr>
          <w:t>Table of Contents</w:t>
        </w:r>
        <w:r w:rsidR="00C1543F">
          <w:rPr>
            <w:noProof/>
            <w:webHidden/>
          </w:rPr>
          <w:tab/>
        </w:r>
        <w:r w:rsidR="00C1543F">
          <w:rPr>
            <w:noProof/>
            <w:webHidden/>
          </w:rPr>
          <w:fldChar w:fldCharType="begin"/>
        </w:r>
        <w:r w:rsidR="00C1543F">
          <w:rPr>
            <w:noProof/>
            <w:webHidden/>
          </w:rPr>
          <w:instrText xml:space="preserve"> PAGEREF _Toc157429563 \h </w:instrText>
        </w:r>
        <w:r w:rsidR="00C1543F">
          <w:rPr>
            <w:noProof/>
            <w:webHidden/>
          </w:rPr>
        </w:r>
        <w:r w:rsidR="00C1543F">
          <w:rPr>
            <w:noProof/>
            <w:webHidden/>
          </w:rPr>
          <w:fldChar w:fldCharType="separate"/>
        </w:r>
        <w:r w:rsidR="00C1543F">
          <w:rPr>
            <w:noProof/>
            <w:webHidden/>
          </w:rPr>
          <w:t>i</w:t>
        </w:r>
        <w:r w:rsidR="00C1543F">
          <w:rPr>
            <w:noProof/>
            <w:webHidden/>
          </w:rPr>
          <w:fldChar w:fldCharType="end"/>
        </w:r>
      </w:hyperlink>
    </w:p>
    <w:p w14:paraId="46BE52CC" w14:textId="413F9FB5" w:rsidR="00C1543F" w:rsidRDefault="00C1543F">
      <w:pPr>
        <w:pStyle w:val="TOC1"/>
        <w:rPr>
          <w:rFonts w:asciiTheme="minorHAnsi" w:eastAsiaTheme="minorEastAsia" w:hAnsiTheme="minorHAnsi"/>
          <w:noProof/>
          <w:sz w:val="22"/>
          <w:szCs w:val="22"/>
        </w:rPr>
      </w:pPr>
      <w:hyperlink w:anchor="_Toc157429564" w:history="1">
        <w:r w:rsidRPr="00C10705">
          <w:rPr>
            <w:rStyle w:val="Hyperlink"/>
            <w:noProof/>
          </w:rPr>
          <w:t>List of Tables</w:t>
        </w:r>
        <w:r>
          <w:rPr>
            <w:noProof/>
            <w:webHidden/>
          </w:rPr>
          <w:tab/>
        </w:r>
        <w:r>
          <w:rPr>
            <w:noProof/>
            <w:webHidden/>
          </w:rPr>
          <w:tab/>
        </w:r>
        <w:r>
          <w:rPr>
            <w:noProof/>
            <w:webHidden/>
          </w:rPr>
          <w:fldChar w:fldCharType="begin"/>
        </w:r>
        <w:r>
          <w:rPr>
            <w:noProof/>
            <w:webHidden/>
          </w:rPr>
          <w:instrText xml:space="preserve"> PAGEREF _Toc157429564 \h </w:instrText>
        </w:r>
        <w:r>
          <w:rPr>
            <w:noProof/>
            <w:webHidden/>
          </w:rPr>
        </w:r>
        <w:r>
          <w:rPr>
            <w:noProof/>
            <w:webHidden/>
          </w:rPr>
          <w:fldChar w:fldCharType="separate"/>
        </w:r>
        <w:r>
          <w:rPr>
            <w:noProof/>
            <w:webHidden/>
          </w:rPr>
          <w:t>iii</w:t>
        </w:r>
        <w:r>
          <w:rPr>
            <w:noProof/>
            <w:webHidden/>
          </w:rPr>
          <w:fldChar w:fldCharType="end"/>
        </w:r>
      </w:hyperlink>
    </w:p>
    <w:p w14:paraId="0E7B410B" w14:textId="40DEAA63" w:rsidR="00C1543F" w:rsidRDefault="00C1543F">
      <w:pPr>
        <w:pStyle w:val="TOC1"/>
        <w:rPr>
          <w:rFonts w:asciiTheme="minorHAnsi" w:eastAsiaTheme="minorEastAsia" w:hAnsiTheme="minorHAnsi"/>
          <w:noProof/>
          <w:sz w:val="22"/>
          <w:szCs w:val="22"/>
        </w:rPr>
      </w:pPr>
      <w:hyperlink w:anchor="_Toc157429565" w:history="1">
        <w:r w:rsidRPr="00C10705">
          <w:rPr>
            <w:rStyle w:val="Hyperlink"/>
            <w:noProof/>
          </w:rPr>
          <w:t>List of Figures</w:t>
        </w:r>
        <w:r>
          <w:rPr>
            <w:noProof/>
            <w:webHidden/>
          </w:rPr>
          <w:tab/>
        </w:r>
        <w:r>
          <w:rPr>
            <w:noProof/>
            <w:webHidden/>
          </w:rPr>
          <w:tab/>
        </w:r>
        <w:r>
          <w:rPr>
            <w:noProof/>
            <w:webHidden/>
          </w:rPr>
          <w:fldChar w:fldCharType="begin"/>
        </w:r>
        <w:r>
          <w:rPr>
            <w:noProof/>
            <w:webHidden/>
          </w:rPr>
          <w:instrText xml:space="preserve"> PAGEREF _Toc157429565 \h </w:instrText>
        </w:r>
        <w:r>
          <w:rPr>
            <w:noProof/>
            <w:webHidden/>
          </w:rPr>
        </w:r>
        <w:r>
          <w:rPr>
            <w:noProof/>
            <w:webHidden/>
          </w:rPr>
          <w:fldChar w:fldCharType="separate"/>
        </w:r>
        <w:r>
          <w:rPr>
            <w:noProof/>
            <w:webHidden/>
          </w:rPr>
          <w:t>iii</w:t>
        </w:r>
        <w:r>
          <w:rPr>
            <w:noProof/>
            <w:webHidden/>
          </w:rPr>
          <w:fldChar w:fldCharType="end"/>
        </w:r>
      </w:hyperlink>
    </w:p>
    <w:p w14:paraId="297AE9D0" w14:textId="4C5E3C98" w:rsidR="00C1543F" w:rsidRDefault="00C1543F">
      <w:pPr>
        <w:pStyle w:val="TOC1"/>
        <w:rPr>
          <w:rFonts w:asciiTheme="minorHAnsi" w:eastAsiaTheme="minorEastAsia" w:hAnsiTheme="minorHAnsi"/>
          <w:noProof/>
          <w:sz w:val="22"/>
          <w:szCs w:val="22"/>
        </w:rPr>
      </w:pPr>
      <w:hyperlink w:anchor="_Toc157429566" w:history="1">
        <w:r w:rsidRPr="00C10705">
          <w:rPr>
            <w:rStyle w:val="Hyperlink"/>
            <w:noProof/>
          </w:rPr>
          <w:t>List of Acronyms</w:t>
        </w:r>
        <w:r>
          <w:rPr>
            <w:noProof/>
            <w:webHidden/>
          </w:rPr>
          <w:tab/>
        </w:r>
        <w:r>
          <w:rPr>
            <w:noProof/>
            <w:webHidden/>
          </w:rPr>
          <w:fldChar w:fldCharType="begin"/>
        </w:r>
        <w:r>
          <w:rPr>
            <w:noProof/>
            <w:webHidden/>
          </w:rPr>
          <w:instrText xml:space="preserve"> PAGEREF _Toc157429566 \h </w:instrText>
        </w:r>
        <w:r>
          <w:rPr>
            <w:noProof/>
            <w:webHidden/>
          </w:rPr>
        </w:r>
        <w:r>
          <w:rPr>
            <w:noProof/>
            <w:webHidden/>
          </w:rPr>
          <w:fldChar w:fldCharType="separate"/>
        </w:r>
        <w:r>
          <w:rPr>
            <w:noProof/>
            <w:webHidden/>
          </w:rPr>
          <w:t>iv</w:t>
        </w:r>
        <w:r>
          <w:rPr>
            <w:noProof/>
            <w:webHidden/>
          </w:rPr>
          <w:fldChar w:fldCharType="end"/>
        </w:r>
      </w:hyperlink>
    </w:p>
    <w:p w14:paraId="6B68877C" w14:textId="028A652F" w:rsidR="00C1543F" w:rsidRDefault="00C1543F">
      <w:pPr>
        <w:pStyle w:val="TOC1"/>
        <w:rPr>
          <w:rFonts w:asciiTheme="minorHAnsi" w:eastAsiaTheme="minorEastAsia" w:hAnsiTheme="minorHAnsi"/>
          <w:noProof/>
          <w:sz w:val="22"/>
          <w:szCs w:val="22"/>
        </w:rPr>
      </w:pPr>
      <w:hyperlink w:anchor="_Toc157429567" w:history="1">
        <w:r w:rsidRPr="00C10705">
          <w:rPr>
            <w:rStyle w:val="Hyperlink"/>
            <w:noProof/>
          </w:rPr>
          <w:t>Executive Summary</w:t>
        </w:r>
        <w:r>
          <w:rPr>
            <w:noProof/>
            <w:webHidden/>
          </w:rPr>
          <w:tab/>
        </w:r>
        <w:r>
          <w:rPr>
            <w:noProof/>
            <w:webHidden/>
          </w:rPr>
          <w:fldChar w:fldCharType="begin"/>
        </w:r>
        <w:r>
          <w:rPr>
            <w:noProof/>
            <w:webHidden/>
          </w:rPr>
          <w:instrText xml:space="preserve"> PAGEREF _Toc157429567 \h </w:instrText>
        </w:r>
        <w:r>
          <w:rPr>
            <w:noProof/>
            <w:webHidden/>
          </w:rPr>
        </w:r>
        <w:r>
          <w:rPr>
            <w:noProof/>
            <w:webHidden/>
          </w:rPr>
          <w:fldChar w:fldCharType="separate"/>
        </w:r>
        <w:r>
          <w:rPr>
            <w:noProof/>
            <w:webHidden/>
          </w:rPr>
          <w:t>v</w:t>
        </w:r>
        <w:r>
          <w:rPr>
            <w:noProof/>
            <w:webHidden/>
          </w:rPr>
          <w:fldChar w:fldCharType="end"/>
        </w:r>
      </w:hyperlink>
    </w:p>
    <w:p w14:paraId="24227F5C" w14:textId="787D75B8" w:rsidR="00C1543F" w:rsidRDefault="00C1543F">
      <w:pPr>
        <w:pStyle w:val="TOC1"/>
        <w:rPr>
          <w:rFonts w:asciiTheme="minorHAnsi" w:eastAsiaTheme="minorEastAsia" w:hAnsiTheme="minorHAnsi"/>
          <w:noProof/>
          <w:sz w:val="22"/>
          <w:szCs w:val="22"/>
        </w:rPr>
      </w:pPr>
      <w:hyperlink w:anchor="_Toc157429568" w:history="1">
        <w:r w:rsidRPr="00C10705">
          <w:rPr>
            <w:rStyle w:val="Hyperlink"/>
            <w:rFonts w:ascii="Arial Black" w:hAnsi="Arial Black"/>
            <w:noProof/>
          </w:rPr>
          <w:t>Chapter 1</w:t>
        </w:r>
        <w:r>
          <w:rPr>
            <w:rFonts w:asciiTheme="minorHAnsi" w:eastAsiaTheme="minorEastAsia" w:hAnsiTheme="minorHAnsi"/>
            <w:noProof/>
            <w:sz w:val="22"/>
            <w:szCs w:val="22"/>
          </w:rPr>
          <w:tab/>
        </w:r>
        <w:r w:rsidRPr="00C10705">
          <w:rPr>
            <w:rStyle w:val="Hyperlink"/>
            <w:noProof/>
          </w:rPr>
          <w:t>Project Description</w:t>
        </w:r>
        <w:r>
          <w:rPr>
            <w:noProof/>
            <w:webHidden/>
          </w:rPr>
          <w:tab/>
        </w:r>
        <w:r>
          <w:rPr>
            <w:noProof/>
            <w:webHidden/>
          </w:rPr>
          <w:fldChar w:fldCharType="begin"/>
        </w:r>
        <w:r>
          <w:rPr>
            <w:noProof/>
            <w:webHidden/>
          </w:rPr>
          <w:instrText xml:space="preserve"> PAGEREF _Toc157429568 \h </w:instrText>
        </w:r>
        <w:r>
          <w:rPr>
            <w:noProof/>
            <w:webHidden/>
          </w:rPr>
        </w:r>
        <w:r>
          <w:rPr>
            <w:noProof/>
            <w:webHidden/>
          </w:rPr>
          <w:fldChar w:fldCharType="separate"/>
        </w:r>
        <w:r>
          <w:rPr>
            <w:noProof/>
            <w:webHidden/>
          </w:rPr>
          <w:t>1</w:t>
        </w:r>
        <w:r>
          <w:rPr>
            <w:noProof/>
            <w:webHidden/>
          </w:rPr>
          <w:fldChar w:fldCharType="end"/>
        </w:r>
      </w:hyperlink>
    </w:p>
    <w:p w14:paraId="5A7CA1B2" w14:textId="1806CEB7" w:rsidR="00C1543F" w:rsidRDefault="00C1543F">
      <w:pPr>
        <w:pStyle w:val="TOC2"/>
        <w:rPr>
          <w:rFonts w:asciiTheme="minorHAnsi" w:eastAsiaTheme="minorEastAsia" w:hAnsiTheme="minorHAnsi"/>
          <w:noProof/>
          <w:sz w:val="22"/>
          <w:szCs w:val="22"/>
        </w:rPr>
      </w:pPr>
      <w:hyperlink w:anchor="_Toc157429569" w:history="1">
        <w:r w:rsidRPr="00C10705">
          <w:rPr>
            <w:rStyle w:val="Hyperlink"/>
            <w:noProof/>
          </w:rPr>
          <w:t>1.1</w:t>
        </w:r>
        <w:r>
          <w:rPr>
            <w:rFonts w:asciiTheme="minorHAnsi" w:eastAsiaTheme="minorEastAsia" w:hAnsiTheme="minorHAnsi"/>
            <w:noProof/>
            <w:sz w:val="22"/>
            <w:szCs w:val="22"/>
          </w:rPr>
          <w:tab/>
        </w:r>
        <w:r w:rsidRPr="00C10705">
          <w:rPr>
            <w:rStyle w:val="Hyperlink"/>
            <w:noProof/>
          </w:rPr>
          <w:t>Introduction</w:t>
        </w:r>
        <w:r>
          <w:rPr>
            <w:noProof/>
            <w:webHidden/>
          </w:rPr>
          <w:tab/>
        </w:r>
        <w:r>
          <w:rPr>
            <w:noProof/>
            <w:webHidden/>
          </w:rPr>
          <w:fldChar w:fldCharType="begin"/>
        </w:r>
        <w:r>
          <w:rPr>
            <w:noProof/>
            <w:webHidden/>
          </w:rPr>
          <w:instrText xml:space="preserve"> PAGEREF _Toc157429569 \h </w:instrText>
        </w:r>
        <w:r>
          <w:rPr>
            <w:noProof/>
            <w:webHidden/>
          </w:rPr>
        </w:r>
        <w:r>
          <w:rPr>
            <w:noProof/>
            <w:webHidden/>
          </w:rPr>
          <w:fldChar w:fldCharType="separate"/>
        </w:r>
        <w:r>
          <w:rPr>
            <w:noProof/>
            <w:webHidden/>
          </w:rPr>
          <w:t>1</w:t>
        </w:r>
        <w:r>
          <w:rPr>
            <w:noProof/>
            <w:webHidden/>
          </w:rPr>
          <w:fldChar w:fldCharType="end"/>
        </w:r>
      </w:hyperlink>
    </w:p>
    <w:p w14:paraId="7A54091F" w14:textId="5B522E14" w:rsidR="00C1543F" w:rsidRDefault="00C1543F">
      <w:pPr>
        <w:pStyle w:val="TOC2"/>
        <w:rPr>
          <w:rFonts w:asciiTheme="minorHAnsi" w:eastAsiaTheme="minorEastAsia" w:hAnsiTheme="minorHAnsi"/>
          <w:noProof/>
          <w:sz w:val="22"/>
          <w:szCs w:val="22"/>
        </w:rPr>
      </w:pPr>
      <w:hyperlink w:anchor="_Toc157429570" w:history="1">
        <w:r w:rsidRPr="00C10705">
          <w:rPr>
            <w:rStyle w:val="Hyperlink"/>
            <w:noProof/>
          </w:rPr>
          <w:t>1.2</w:t>
        </w:r>
        <w:r>
          <w:rPr>
            <w:rFonts w:asciiTheme="minorHAnsi" w:eastAsiaTheme="minorEastAsia" w:hAnsiTheme="minorHAnsi"/>
            <w:noProof/>
            <w:sz w:val="22"/>
            <w:szCs w:val="22"/>
          </w:rPr>
          <w:tab/>
        </w:r>
        <w:r w:rsidRPr="00C10705">
          <w:rPr>
            <w:rStyle w:val="Hyperlink"/>
            <w:noProof/>
          </w:rPr>
          <w:t>Location</w:t>
        </w:r>
        <w:r>
          <w:rPr>
            <w:noProof/>
            <w:webHidden/>
          </w:rPr>
          <w:tab/>
        </w:r>
        <w:r>
          <w:rPr>
            <w:noProof/>
            <w:webHidden/>
          </w:rPr>
          <w:fldChar w:fldCharType="begin"/>
        </w:r>
        <w:r>
          <w:rPr>
            <w:noProof/>
            <w:webHidden/>
          </w:rPr>
          <w:instrText xml:space="preserve"> PAGEREF _Toc157429570 \h </w:instrText>
        </w:r>
        <w:r>
          <w:rPr>
            <w:noProof/>
            <w:webHidden/>
          </w:rPr>
        </w:r>
        <w:r>
          <w:rPr>
            <w:noProof/>
            <w:webHidden/>
          </w:rPr>
          <w:fldChar w:fldCharType="separate"/>
        </w:r>
        <w:r>
          <w:rPr>
            <w:noProof/>
            <w:webHidden/>
          </w:rPr>
          <w:t>1</w:t>
        </w:r>
        <w:r>
          <w:rPr>
            <w:noProof/>
            <w:webHidden/>
          </w:rPr>
          <w:fldChar w:fldCharType="end"/>
        </w:r>
      </w:hyperlink>
    </w:p>
    <w:p w14:paraId="04EED3D7" w14:textId="143C8851" w:rsidR="00C1543F" w:rsidRDefault="00C1543F">
      <w:pPr>
        <w:pStyle w:val="TOC2"/>
        <w:rPr>
          <w:rFonts w:asciiTheme="minorHAnsi" w:eastAsiaTheme="minorEastAsia" w:hAnsiTheme="minorHAnsi"/>
          <w:noProof/>
          <w:sz w:val="22"/>
          <w:szCs w:val="22"/>
        </w:rPr>
      </w:pPr>
      <w:hyperlink w:anchor="_Toc157429571" w:history="1">
        <w:r w:rsidRPr="00C10705">
          <w:rPr>
            <w:rStyle w:val="Hyperlink"/>
            <w:noProof/>
          </w:rPr>
          <w:t>1.3</w:t>
        </w:r>
        <w:r>
          <w:rPr>
            <w:rFonts w:asciiTheme="minorHAnsi" w:eastAsiaTheme="minorEastAsia" w:hAnsiTheme="minorHAnsi"/>
            <w:noProof/>
            <w:sz w:val="22"/>
            <w:szCs w:val="22"/>
          </w:rPr>
          <w:tab/>
        </w:r>
        <w:r w:rsidRPr="00C10705">
          <w:rPr>
            <w:rStyle w:val="Hyperlink"/>
            <w:noProof/>
          </w:rPr>
          <w:t>Purpose and Need</w:t>
        </w:r>
        <w:r>
          <w:rPr>
            <w:noProof/>
            <w:webHidden/>
          </w:rPr>
          <w:tab/>
        </w:r>
        <w:r>
          <w:rPr>
            <w:noProof/>
            <w:webHidden/>
          </w:rPr>
          <w:fldChar w:fldCharType="begin"/>
        </w:r>
        <w:r>
          <w:rPr>
            <w:noProof/>
            <w:webHidden/>
          </w:rPr>
          <w:instrText xml:space="preserve"> PAGEREF _Toc157429571 \h </w:instrText>
        </w:r>
        <w:r>
          <w:rPr>
            <w:noProof/>
            <w:webHidden/>
          </w:rPr>
        </w:r>
        <w:r>
          <w:rPr>
            <w:noProof/>
            <w:webHidden/>
          </w:rPr>
          <w:fldChar w:fldCharType="separate"/>
        </w:r>
        <w:r>
          <w:rPr>
            <w:noProof/>
            <w:webHidden/>
          </w:rPr>
          <w:t>1</w:t>
        </w:r>
        <w:r>
          <w:rPr>
            <w:noProof/>
            <w:webHidden/>
          </w:rPr>
          <w:fldChar w:fldCharType="end"/>
        </w:r>
      </w:hyperlink>
    </w:p>
    <w:p w14:paraId="59419008" w14:textId="0F4469D6" w:rsidR="00C1543F" w:rsidRDefault="00C1543F">
      <w:pPr>
        <w:pStyle w:val="TOC2"/>
        <w:rPr>
          <w:rFonts w:asciiTheme="minorHAnsi" w:eastAsiaTheme="minorEastAsia" w:hAnsiTheme="minorHAnsi"/>
          <w:noProof/>
          <w:sz w:val="22"/>
          <w:szCs w:val="22"/>
        </w:rPr>
      </w:pPr>
      <w:hyperlink w:anchor="_Toc157429572" w:history="1">
        <w:r w:rsidRPr="00C10705">
          <w:rPr>
            <w:rStyle w:val="Hyperlink"/>
            <w:noProof/>
          </w:rPr>
          <w:t>1.4</w:t>
        </w:r>
        <w:r>
          <w:rPr>
            <w:rFonts w:asciiTheme="minorHAnsi" w:eastAsiaTheme="minorEastAsia" w:hAnsiTheme="minorHAnsi"/>
            <w:noProof/>
            <w:sz w:val="22"/>
            <w:szCs w:val="22"/>
          </w:rPr>
          <w:tab/>
        </w:r>
        <w:r w:rsidRPr="00C10705">
          <w:rPr>
            <w:rStyle w:val="Hyperlink"/>
            <w:noProof/>
          </w:rPr>
          <w:t>Alternatives</w:t>
        </w:r>
        <w:r>
          <w:rPr>
            <w:noProof/>
            <w:webHidden/>
          </w:rPr>
          <w:tab/>
        </w:r>
        <w:r>
          <w:rPr>
            <w:noProof/>
            <w:webHidden/>
          </w:rPr>
          <w:fldChar w:fldCharType="begin"/>
        </w:r>
        <w:r>
          <w:rPr>
            <w:noProof/>
            <w:webHidden/>
          </w:rPr>
          <w:instrText xml:space="preserve"> PAGEREF _Toc157429572 \h </w:instrText>
        </w:r>
        <w:r>
          <w:rPr>
            <w:noProof/>
            <w:webHidden/>
          </w:rPr>
        </w:r>
        <w:r>
          <w:rPr>
            <w:noProof/>
            <w:webHidden/>
          </w:rPr>
          <w:fldChar w:fldCharType="separate"/>
        </w:r>
        <w:r>
          <w:rPr>
            <w:noProof/>
            <w:webHidden/>
          </w:rPr>
          <w:t>1</w:t>
        </w:r>
        <w:r>
          <w:rPr>
            <w:noProof/>
            <w:webHidden/>
          </w:rPr>
          <w:fldChar w:fldCharType="end"/>
        </w:r>
      </w:hyperlink>
    </w:p>
    <w:p w14:paraId="433F7433" w14:textId="6F4F2836"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73" w:history="1">
        <w:r w:rsidRPr="00C10705">
          <w:rPr>
            <w:rStyle w:val="Hyperlink"/>
            <w:noProof/>
          </w:rPr>
          <w:t>1.4.1</w:t>
        </w:r>
        <w:r>
          <w:rPr>
            <w:rFonts w:asciiTheme="minorHAnsi" w:eastAsiaTheme="minorEastAsia" w:hAnsiTheme="minorHAnsi"/>
            <w:noProof/>
            <w:sz w:val="22"/>
            <w:szCs w:val="22"/>
          </w:rPr>
          <w:tab/>
        </w:r>
        <w:r w:rsidRPr="00C10705">
          <w:rPr>
            <w:rStyle w:val="Hyperlink"/>
            <w:noProof/>
          </w:rPr>
          <w:t>No-Build Alternative</w:t>
        </w:r>
        <w:r>
          <w:rPr>
            <w:noProof/>
            <w:webHidden/>
          </w:rPr>
          <w:tab/>
        </w:r>
        <w:r>
          <w:rPr>
            <w:noProof/>
            <w:webHidden/>
          </w:rPr>
          <w:fldChar w:fldCharType="begin"/>
        </w:r>
        <w:r>
          <w:rPr>
            <w:noProof/>
            <w:webHidden/>
          </w:rPr>
          <w:instrText xml:space="preserve"> PAGEREF _Toc157429573 \h </w:instrText>
        </w:r>
        <w:r>
          <w:rPr>
            <w:noProof/>
            <w:webHidden/>
          </w:rPr>
        </w:r>
        <w:r>
          <w:rPr>
            <w:noProof/>
            <w:webHidden/>
          </w:rPr>
          <w:fldChar w:fldCharType="separate"/>
        </w:r>
        <w:r>
          <w:rPr>
            <w:noProof/>
            <w:webHidden/>
          </w:rPr>
          <w:t>2</w:t>
        </w:r>
        <w:r>
          <w:rPr>
            <w:noProof/>
            <w:webHidden/>
          </w:rPr>
          <w:fldChar w:fldCharType="end"/>
        </w:r>
      </w:hyperlink>
    </w:p>
    <w:p w14:paraId="74599494" w14:textId="124C587B"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74" w:history="1">
        <w:r w:rsidRPr="00C10705">
          <w:rPr>
            <w:rStyle w:val="Hyperlink"/>
            <w:noProof/>
          </w:rPr>
          <w:t>1.4.2</w:t>
        </w:r>
        <w:r>
          <w:rPr>
            <w:rFonts w:asciiTheme="minorHAnsi" w:eastAsiaTheme="minorEastAsia" w:hAnsiTheme="minorHAnsi"/>
            <w:noProof/>
            <w:sz w:val="22"/>
            <w:szCs w:val="22"/>
          </w:rPr>
          <w:tab/>
        </w:r>
        <w:r w:rsidRPr="00C10705">
          <w:rPr>
            <w:rStyle w:val="Hyperlink"/>
            <w:noProof/>
          </w:rPr>
          <w:t>Build Alternatives</w:t>
        </w:r>
        <w:r>
          <w:rPr>
            <w:noProof/>
            <w:webHidden/>
          </w:rPr>
          <w:tab/>
        </w:r>
        <w:r>
          <w:rPr>
            <w:noProof/>
            <w:webHidden/>
          </w:rPr>
          <w:fldChar w:fldCharType="begin"/>
        </w:r>
        <w:r>
          <w:rPr>
            <w:noProof/>
            <w:webHidden/>
          </w:rPr>
          <w:instrText xml:space="preserve"> PAGEREF _Toc157429574 \h </w:instrText>
        </w:r>
        <w:r>
          <w:rPr>
            <w:noProof/>
            <w:webHidden/>
          </w:rPr>
        </w:r>
        <w:r>
          <w:rPr>
            <w:noProof/>
            <w:webHidden/>
          </w:rPr>
          <w:fldChar w:fldCharType="separate"/>
        </w:r>
        <w:r>
          <w:rPr>
            <w:noProof/>
            <w:webHidden/>
          </w:rPr>
          <w:t>2</w:t>
        </w:r>
        <w:r>
          <w:rPr>
            <w:noProof/>
            <w:webHidden/>
          </w:rPr>
          <w:fldChar w:fldCharType="end"/>
        </w:r>
      </w:hyperlink>
    </w:p>
    <w:p w14:paraId="2BA5D99E" w14:textId="68F16684" w:rsidR="00C1543F" w:rsidRDefault="00C1543F">
      <w:pPr>
        <w:pStyle w:val="TOC1"/>
        <w:rPr>
          <w:rFonts w:asciiTheme="minorHAnsi" w:eastAsiaTheme="minorEastAsia" w:hAnsiTheme="minorHAnsi"/>
          <w:noProof/>
          <w:sz w:val="22"/>
          <w:szCs w:val="22"/>
        </w:rPr>
      </w:pPr>
      <w:hyperlink w:anchor="_Toc157429575" w:history="1">
        <w:r w:rsidRPr="00C10705">
          <w:rPr>
            <w:rStyle w:val="Hyperlink"/>
            <w:rFonts w:ascii="Arial Black" w:hAnsi="Arial Black"/>
            <w:noProof/>
          </w:rPr>
          <w:t>Chapter 2</w:t>
        </w:r>
        <w:r>
          <w:rPr>
            <w:rFonts w:asciiTheme="minorHAnsi" w:eastAsiaTheme="minorEastAsia" w:hAnsiTheme="minorHAnsi"/>
            <w:noProof/>
            <w:sz w:val="22"/>
            <w:szCs w:val="22"/>
          </w:rPr>
          <w:tab/>
        </w:r>
        <w:r w:rsidRPr="00C10705">
          <w:rPr>
            <w:rStyle w:val="Hyperlink"/>
            <w:noProof/>
          </w:rPr>
          <w:t>Regulatory Setting</w:t>
        </w:r>
        <w:r>
          <w:rPr>
            <w:noProof/>
            <w:webHidden/>
          </w:rPr>
          <w:tab/>
        </w:r>
        <w:r>
          <w:rPr>
            <w:noProof/>
            <w:webHidden/>
          </w:rPr>
          <w:fldChar w:fldCharType="begin"/>
        </w:r>
        <w:r>
          <w:rPr>
            <w:noProof/>
            <w:webHidden/>
          </w:rPr>
          <w:instrText xml:space="preserve"> PAGEREF _Toc157429575 \h </w:instrText>
        </w:r>
        <w:r>
          <w:rPr>
            <w:noProof/>
            <w:webHidden/>
          </w:rPr>
        </w:r>
        <w:r>
          <w:rPr>
            <w:noProof/>
            <w:webHidden/>
          </w:rPr>
          <w:fldChar w:fldCharType="separate"/>
        </w:r>
        <w:r>
          <w:rPr>
            <w:noProof/>
            <w:webHidden/>
          </w:rPr>
          <w:t>6</w:t>
        </w:r>
        <w:r>
          <w:rPr>
            <w:noProof/>
            <w:webHidden/>
          </w:rPr>
          <w:fldChar w:fldCharType="end"/>
        </w:r>
      </w:hyperlink>
    </w:p>
    <w:p w14:paraId="149A52F3" w14:textId="637964C0" w:rsidR="00C1543F" w:rsidRDefault="00C1543F">
      <w:pPr>
        <w:pStyle w:val="TOC2"/>
        <w:rPr>
          <w:rFonts w:asciiTheme="minorHAnsi" w:eastAsiaTheme="minorEastAsia" w:hAnsiTheme="minorHAnsi"/>
          <w:noProof/>
          <w:sz w:val="22"/>
          <w:szCs w:val="22"/>
        </w:rPr>
      </w:pPr>
      <w:hyperlink w:anchor="_Toc157429576" w:history="1">
        <w:r w:rsidRPr="00C10705">
          <w:rPr>
            <w:rStyle w:val="Hyperlink"/>
            <w:noProof/>
          </w:rPr>
          <w:t>2.1</w:t>
        </w:r>
        <w:r>
          <w:rPr>
            <w:rFonts w:asciiTheme="minorHAnsi" w:eastAsiaTheme="minorEastAsia" w:hAnsiTheme="minorHAnsi"/>
            <w:noProof/>
            <w:sz w:val="22"/>
            <w:szCs w:val="22"/>
          </w:rPr>
          <w:tab/>
        </w:r>
        <w:r w:rsidRPr="00C10705">
          <w:rPr>
            <w:rStyle w:val="Hyperlink"/>
            <w:noProof/>
          </w:rPr>
          <w:t>Introduction</w:t>
        </w:r>
        <w:r>
          <w:rPr>
            <w:noProof/>
            <w:webHidden/>
          </w:rPr>
          <w:tab/>
        </w:r>
        <w:r>
          <w:rPr>
            <w:noProof/>
            <w:webHidden/>
          </w:rPr>
          <w:fldChar w:fldCharType="begin"/>
        </w:r>
        <w:r>
          <w:rPr>
            <w:noProof/>
            <w:webHidden/>
          </w:rPr>
          <w:instrText xml:space="preserve"> PAGEREF _Toc157429576 \h </w:instrText>
        </w:r>
        <w:r>
          <w:rPr>
            <w:noProof/>
            <w:webHidden/>
          </w:rPr>
        </w:r>
        <w:r>
          <w:rPr>
            <w:noProof/>
            <w:webHidden/>
          </w:rPr>
          <w:fldChar w:fldCharType="separate"/>
        </w:r>
        <w:r>
          <w:rPr>
            <w:noProof/>
            <w:webHidden/>
          </w:rPr>
          <w:t>6</w:t>
        </w:r>
        <w:r>
          <w:rPr>
            <w:noProof/>
            <w:webHidden/>
          </w:rPr>
          <w:fldChar w:fldCharType="end"/>
        </w:r>
      </w:hyperlink>
    </w:p>
    <w:p w14:paraId="7F6CF1DD" w14:textId="7F343FF9" w:rsidR="00C1543F" w:rsidRDefault="00C1543F">
      <w:pPr>
        <w:pStyle w:val="TOC2"/>
        <w:rPr>
          <w:rFonts w:asciiTheme="minorHAnsi" w:eastAsiaTheme="minorEastAsia" w:hAnsiTheme="minorHAnsi"/>
          <w:noProof/>
          <w:sz w:val="22"/>
          <w:szCs w:val="22"/>
        </w:rPr>
      </w:pPr>
      <w:hyperlink w:anchor="_Toc157429577" w:history="1">
        <w:r w:rsidRPr="00C10705">
          <w:rPr>
            <w:rStyle w:val="Hyperlink"/>
            <w:noProof/>
          </w:rPr>
          <w:t>2.2</w:t>
        </w:r>
        <w:r>
          <w:rPr>
            <w:rFonts w:asciiTheme="minorHAnsi" w:eastAsiaTheme="minorEastAsia" w:hAnsiTheme="minorHAnsi"/>
            <w:noProof/>
            <w:sz w:val="22"/>
            <w:szCs w:val="22"/>
          </w:rPr>
          <w:tab/>
        </w:r>
        <w:r w:rsidRPr="00C10705">
          <w:rPr>
            <w:rStyle w:val="Hyperlink"/>
            <w:noProof/>
          </w:rPr>
          <w:t>Federal</w:t>
        </w:r>
        <w:r>
          <w:rPr>
            <w:noProof/>
            <w:webHidden/>
          </w:rPr>
          <w:tab/>
        </w:r>
        <w:r>
          <w:rPr>
            <w:noProof/>
            <w:webHidden/>
          </w:rPr>
          <w:fldChar w:fldCharType="begin"/>
        </w:r>
        <w:r>
          <w:rPr>
            <w:noProof/>
            <w:webHidden/>
          </w:rPr>
          <w:instrText xml:space="preserve"> PAGEREF _Toc157429577 \h </w:instrText>
        </w:r>
        <w:r>
          <w:rPr>
            <w:noProof/>
            <w:webHidden/>
          </w:rPr>
        </w:r>
        <w:r>
          <w:rPr>
            <w:noProof/>
            <w:webHidden/>
          </w:rPr>
          <w:fldChar w:fldCharType="separate"/>
        </w:r>
        <w:r>
          <w:rPr>
            <w:noProof/>
            <w:webHidden/>
          </w:rPr>
          <w:t>6</w:t>
        </w:r>
        <w:r>
          <w:rPr>
            <w:noProof/>
            <w:webHidden/>
          </w:rPr>
          <w:fldChar w:fldCharType="end"/>
        </w:r>
      </w:hyperlink>
    </w:p>
    <w:p w14:paraId="1187B754" w14:textId="7CC2493F" w:rsidR="00C1543F" w:rsidRDefault="00C1543F">
      <w:pPr>
        <w:pStyle w:val="TOC2"/>
        <w:rPr>
          <w:rFonts w:asciiTheme="minorHAnsi" w:eastAsiaTheme="minorEastAsia" w:hAnsiTheme="minorHAnsi"/>
          <w:noProof/>
          <w:sz w:val="22"/>
          <w:szCs w:val="22"/>
        </w:rPr>
      </w:pPr>
      <w:hyperlink w:anchor="_Toc157429578" w:history="1">
        <w:r w:rsidRPr="00C10705">
          <w:rPr>
            <w:rStyle w:val="Hyperlink"/>
            <w:noProof/>
          </w:rPr>
          <w:t>2.3</w:t>
        </w:r>
        <w:r>
          <w:rPr>
            <w:rFonts w:asciiTheme="minorHAnsi" w:eastAsiaTheme="minorEastAsia" w:hAnsiTheme="minorHAnsi"/>
            <w:noProof/>
            <w:sz w:val="22"/>
            <w:szCs w:val="22"/>
          </w:rPr>
          <w:tab/>
        </w:r>
        <w:r w:rsidRPr="00C10705">
          <w:rPr>
            <w:rStyle w:val="Hyperlink"/>
            <w:noProof/>
          </w:rPr>
          <w:t>State</w:t>
        </w:r>
        <w:r>
          <w:rPr>
            <w:noProof/>
            <w:webHidden/>
          </w:rPr>
          <w:tab/>
        </w:r>
        <w:r>
          <w:rPr>
            <w:noProof/>
            <w:webHidden/>
          </w:rPr>
          <w:fldChar w:fldCharType="begin"/>
        </w:r>
        <w:r>
          <w:rPr>
            <w:noProof/>
            <w:webHidden/>
          </w:rPr>
          <w:instrText xml:space="preserve"> PAGEREF _Toc157429578 \h </w:instrText>
        </w:r>
        <w:r>
          <w:rPr>
            <w:noProof/>
            <w:webHidden/>
          </w:rPr>
        </w:r>
        <w:r>
          <w:rPr>
            <w:noProof/>
            <w:webHidden/>
          </w:rPr>
          <w:fldChar w:fldCharType="separate"/>
        </w:r>
        <w:r>
          <w:rPr>
            <w:noProof/>
            <w:webHidden/>
          </w:rPr>
          <w:t>7</w:t>
        </w:r>
        <w:r>
          <w:rPr>
            <w:noProof/>
            <w:webHidden/>
          </w:rPr>
          <w:fldChar w:fldCharType="end"/>
        </w:r>
      </w:hyperlink>
    </w:p>
    <w:p w14:paraId="1E90D7BA" w14:textId="45C62DB7" w:rsidR="00C1543F" w:rsidRDefault="00C1543F">
      <w:pPr>
        <w:pStyle w:val="TOC2"/>
        <w:rPr>
          <w:rFonts w:asciiTheme="minorHAnsi" w:eastAsiaTheme="minorEastAsia" w:hAnsiTheme="minorHAnsi"/>
          <w:noProof/>
          <w:sz w:val="22"/>
          <w:szCs w:val="22"/>
        </w:rPr>
      </w:pPr>
      <w:hyperlink w:anchor="_Toc157429579" w:history="1">
        <w:r w:rsidRPr="00C10705">
          <w:rPr>
            <w:rStyle w:val="Hyperlink"/>
            <w:noProof/>
          </w:rPr>
          <w:t>2.4</w:t>
        </w:r>
        <w:r>
          <w:rPr>
            <w:rFonts w:asciiTheme="minorHAnsi" w:eastAsiaTheme="minorEastAsia" w:hAnsiTheme="minorHAnsi"/>
            <w:noProof/>
            <w:sz w:val="22"/>
            <w:szCs w:val="22"/>
          </w:rPr>
          <w:tab/>
        </w:r>
        <w:r w:rsidRPr="00C10705">
          <w:rPr>
            <w:rStyle w:val="Hyperlink"/>
            <w:noProof/>
          </w:rPr>
          <w:t>Caltrans</w:t>
        </w:r>
        <w:r>
          <w:rPr>
            <w:noProof/>
            <w:webHidden/>
          </w:rPr>
          <w:tab/>
        </w:r>
        <w:r>
          <w:rPr>
            <w:noProof/>
            <w:webHidden/>
          </w:rPr>
          <w:fldChar w:fldCharType="begin"/>
        </w:r>
        <w:r>
          <w:rPr>
            <w:noProof/>
            <w:webHidden/>
          </w:rPr>
          <w:instrText xml:space="preserve"> PAGEREF _Toc157429579 \h </w:instrText>
        </w:r>
        <w:r>
          <w:rPr>
            <w:noProof/>
            <w:webHidden/>
          </w:rPr>
        </w:r>
        <w:r>
          <w:rPr>
            <w:noProof/>
            <w:webHidden/>
          </w:rPr>
          <w:fldChar w:fldCharType="separate"/>
        </w:r>
        <w:r>
          <w:rPr>
            <w:noProof/>
            <w:webHidden/>
          </w:rPr>
          <w:t>8</w:t>
        </w:r>
        <w:r>
          <w:rPr>
            <w:noProof/>
            <w:webHidden/>
          </w:rPr>
          <w:fldChar w:fldCharType="end"/>
        </w:r>
      </w:hyperlink>
    </w:p>
    <w:p w14:paraId="35B0B59D" w14:textId="6DD4828B" w:rsidR="00C1543F" w:rsidRDefault="00C1543F">
      <w:pPr>
        <w:pStyle w:val="TOC2"/>
        <w:rPr>
          <w:rFonts w:asciiTheme="minorHAnsi" w:eastAsiaTheme="minorEastAsia" w:hAnsiTheme="minorHAnsi"/>
          <w:noProof/>
          <w:sz w:val="22"/>
          <w:szCs w:val="22"/>
        </w:rPr>
      </w:pPr>
      <w:hyperlink w:anchor="_Toc157429580" w:history="1">
        <w:r w:rsidRPr="00C10705">
          <w:rPr>
            <w:rStyle w:val="Hyperlink"/>
            <w:noProof/>
          </w:rPr>
          <w:t>2.5</w:t>
        </w:r>
        <w:r>
          <w:rPr>
            <w:rFonts w:asciiTheme="minorHAnsi" w:eastAsiaTheme="minorEastAsia" w:hAnsiTheme="minorHAnsi"/>
            <w:noProof/>
            <w:sz w:val="22"/>
            <w:szCs w:val="22"/>
          </w:rPr>
          <w:tab/>
        </w:r>
        <w:r w:rsidRPr="00C10705">
          <w:rPr>
            <w:rStyle w:val="Hyperlink"/>
            <w:noProof/>
          </w:rPr>
          <w:t>Local</w:t>
        </w:r>
        <w:r>
          <w:rPr>
            <w:noProof/>
            <w:webHidden/>
          </w:rPr>
          <w:tab/>
        </w:r>
        <w:r>
          <w:rPr>
            <w:noProof/>
            <w:webHidden/>
          </w:rPr>
          <w:fldChar w:fldCharType="begin"/>
        </w:r>
        <w:r>
          <w:rPr>
            <w:noProof/>
            <w:webHidden/>
          </w:rPr>
          <w:instrText xml:space="preserve"> PAGEREF _Toc157429580 \h </w:instrText>
        </w:r>
        <w:r>
          <w:rPr>
            <w:noProof/>
            <w:webHidden/>
          </w:rPr>
        </w:r>
        <w:r>
          <w:rPr>
            <w:noProof/>
            <w:webHidden/>
          </w:rPr>
          <w:fldChar w:fldCharType="separate"/>
        </w:r>
        <w:r>
          <w:rPr>
            <w:noProof/>
            <w:webHidden/>
          </w:rPr>
          <w:t>8</w:t>
        </w:r>
        <w:r>
          <w:rPr>
            <w:noProof/>
            <w:webHidden/>
          </w:rPr>
          <w:fldChar w:fldCharType="end"/>
        </w:r>
      </w:hyperlink>
    </w:p>
    <w:p w14:paraId="573426F8" w14:textId="62098A9F" w:rsidR="00C1543F" w:rsidRDefault="00C1543F">
      <w:pPr>
        <w:pStyle w:val="TOC1"/>
        <w:rPr>
          <w:rFonts w:asciiTheme="minorHAnsi" w:eastAsiaTheme="minorEastAsia" w:hAnsiTheme="minorHAnsi"/>
          <w:noProof/>
          <w:sz w:val="22"/>
          <w:szCs w:val="22"/>
        </w:rPr>
      </w:pPr>
      <w:hyperlink w:anchor="_Toc157429581" w:history="1">
        <w:r w:rsidRPr="00C10705">
          <w:rPr>
            <w:rStyle w:val="Hyperlink"/>
            <w:rFonts w:ascii="Arial Black" w:hAnsi="Arial Black"/>
            <w:noProof/>
          </w:rPr>
          <w:t>Chapter 3</w:t>
        </w:r>
        <w:r>
          <w:rPr>
            <w:rFonts w:asciiTheme="minorHAnsi" w:eastAsiaTheme="minorEastAsia" w:hAnsiTheme="minorHAnsi"/>
            <w:noProof/>
            <w:sz w:val="22"/>
            <w:szCs w:val="22"/>
          </w:rPr>
          <w:tab/>
        </w:r>
        <w:r w:rsidRPr="00C10705">
          <w:rPr>
            <w:rStyle w:val="Hyperlink"/>
            <w:noProof/>
          </w:rPr>
          <w:t>Affected Environment</w:t>
        </w:r>
        <w:r>
          <w:rPr>
            <w:noProof/>
            <w:webHidden/>
          </w:rPr>
          <w:tab/>
        </w:r>
        <w:r>
          <w:rPr>
            <w:noProof/>
            <w:webHidden/>
          </w:rPr>
          <w:fldChar w:fldCharType="begin"/>
        </w:r>
        <w:r>
          <w:rPr>
            <w:noProof/>
            <w:webHidden/>
          </w:rPr>
          <w:instrText xml:space="preserve"> PAGEREF _Toc157429581 \h </w:instrText>
        </w:r>
        <w:r>
          <w:rPr>
            <w:noProof/>
            <w:webHidden/>
          </w:rPr>
        </w:r>
        <w:r>
          <w:rPr>
            <w:noProof/>
            <w:webHidden/>
          </w:rPr>
          <w:fldChar w:fldCharType="separate"/>
        </w:r>
        <w:r>
          <w:rPr>
            <w:noProof/>
            <w:webHidden/>
          </w:rPr>
          <w:t>11</w:t>
        </w:r>
        <w:r>
          <w:rPr>
            <w:noProof/>
            <w:webHidden/>
          </w:rPr>
          <w:fldChar w:fldCharType="end"/>
        </w:r>
      </w:hyperlink>
    </w:p>
    <w:p w14:paraId="06C7D742" w14:textId="1A1FD25F" w:rsidR="00C1543F" w:rsidRDefault="00C1543F">
      <w:pPr>
        <w:pStyle w:val="TOC2"/>
        <w:rPr>
          <w:rFonts w:asciiTheme="minorHAnsi" w:eastAsiaTheme="minorEastAsia" w:hAnsiTheme="minorHAnsi"/>
          <w:noProof/>
          <w:sz w:val="22"/>
          <w:szCs w:val="22"/>
        </w:rPr>
      </w:pPr>
      <w:hyperlink w:anchor="_Toc157429582" w:history="1">
        <w:r w:rsidRPr="00C10705">
          <w:rPr>
            <w:rStyle w:val="Hyperlink"/>
            <w:noProof/>
          </w:rPr>
          <w:t>3.1</w:t>
        </w:r>
        <w:r>
          <w:rPr>
            <w:rFonts w:asciiTheme="minorHAnsi" w:eastAsiaTheme="minorEastAsia" w:hAnsiTheme="minorHAnsi"/>
            <w:noProof/>
            <w:sz w:val="22"/>
            <w:szCs w:val="22"/>
          </w:rPr>
          <w:tab/>
        </w:r>
        <w:r w:rsidRPr="00C10705">
          <w:rPr>
            <w:rStyle w:val="Hyperlink"/>
            <w:noProof/>
          </w:rPr>
          <w:t>Introduction</w:t>
        </w:r>
        <w:r>
          <w:rPr>
            <w:noProof/>
            <w:webHidden/>
          </w:rPr>
          <w:tab/>
        </w:r>
        <w:r>
          <w:rPr>
            <w:noProof/>
            <w:webHidden/>
          </w:rPr>
          <w:fldChar w:fldCharType="begin"/>
        </w:r>
        <w:r>
          <w:rPr>
            <w:noProof/>
            <w:webHidden/>
          </w:rPr>
          <w:instrText xml:space="preserve"> PAGEREF _Toc157429582 \h </w:instrText>
        </w:r>
        <w:r>
          <w:rPr>
            <w:noProof/>
            <w:webHidden/>
          </w:rPr>
        </w:r>
        <w:r>
          <w:rPr>
            <w:noProof/>
            <w:webHidden/>
          </w:rPr>
          <w:fldChar w:fldCharType="separate"/>
        </w:r>
        <w:r>
          <w:rPr>
            <w:noProof/>
            <w:webHidden/>
          </w:rPr>
          <w:t>11</w:t>
        </w:r>
        <w:r>
          <w:rPr>
            <w:noProof/>
            <w:webHidden/>
          </w:rPr>
          <w:fldChar w:fldCharType="end"/>
        </w:r>
      </w:hyperlink>
    </w:p>
    <w:p w14:paraId="3B99A651" w14:textId="043CB68C" w:rsidR="00C1543F" w:rsidRDefault="00C1543F">
      <w:pPr>
        <w:pStyle w:val="TOC2"/>
        <w:rPr>
          <w:rFonts w:asciiTheme="minorHAnsi" w:eastAsiaTheme="minorEastAsia" w:hAnsiTheme="minorHAnsi"/>
          <w:noProof/>
          <w:sz w:val="22"/>
          <w:szCs w:val="22"/>
        </w:rPr>
      </w:pPr>
      <w:hyperlink w:anchor="_Toc157429583" w:history="1">
        <w:r w:rsidRPr="00C10705">
          <w:rPr>
            <w:rStyle w:val="Hyperlink"/>
            <w:noProof/>
          </w:rPr>
          <w:t>3.2</w:t>
        </w:r>
        <w:r>
          <w:rPr>
            <w:rFonts w:asciiTheme="minorHAnsi" w:eastAsiaTheme="minorEastAsia" w:hAnsiTheme="minorHAnsi"/>
            <w:noProof/>
            <w:sz w:val="22"/>
            <w:szCs w:val="22"/>
          </w:rPr>
          <w:tab/>
        </w:r>
        <w:r w:rsidRPr="00C10705">
          <w:rPr>
            <w:rStyle w:val="Hyperlink"/>
            <w:noProof/>
          </w:rPr>
          <w:t>State Energy Resources and Consumption</w:t>
        </w:r>
        <w:r>
          <w:rPr>
            <w:noProof/>
            <w:webHidden/>
          </w:rPr>
          <w:tab/>
        </w:r>
        <w:r>
          <w:rPr>
            <w:noProof/>
            <w:webHidden/>
          </w:rPr>
          <w:fldChar w:fldCharType="begin"/>
        </w:r>
        <w:r>
          <w:rPr>
            <w:noProof/>
            <w:webHidden/>
          </w:rPr>
          <w:instrText xml:space="preserve"> PAGEREF _Toc157429583 \h </w:instrText>
        </w:r>
        <w:r>
          <w:rPr>
            <w:noProof/>
            <w:webHidden/>
          </w:rPr>
        </w:r>
        <w:r>
          <w:rPr>
            <w:noProof/>
            <w:webHidden/>
          </w:rPr>
          <w:fldChar w:fldCharType="separate"/>
        </w:r>
        <w:r>
          <w:rPr>
            <w:noProof/>
            <w:webHidden/>
          </w:rPr>
          <w:t>11</w:t>
        </w:r>
        <w:r>
          <w:rPr>
            <w:noProof/>
            <w:webHidden/>
          </w:rPr>
          <w:fldChar w:fldCharType="end"/>
        </w:r>
      </w:hyperlink>
    </w:p>
    <w:p w14:paraId="108E32C4" w14:textId="5AFECB5B" w:rsidR="00C1543F" w:rsidRDefault="00C1543F">
      <w:pPr>
        <w:pStyle w:val="TOC2"/>
        <w:rPr>
          <w:rFonts w:asciiTheme="minorHAnsi" w:eastAsiaTheme="minorEastAsia" w:hAnsiTheme="minorHAnsi"/>
          <w:noProof/>
          <w:sz w:val="22"/>
          <w:szCs w:val="22"/>
        </w:rPr>
      </w:pPr>
      <w:hyperlink w:anchor="_Toc157429584" w:history="1">
        <w:r w:rsidRPr="00C10705">
          <w:rPr>
            <w:rStyle w:val="Hyperlink"/>
            <w:noProof/>
          </w:rPr>
          <w:t>3.3</w:t>
        </w:r>
        <w:r>
          <w:rPr>
            <w:rFonts w:asciiTheme="minorHAnsi" w:eastAsiaTheme="minorEastAsia" w:hAnsiTheme="minorHAnsi"/>
            <w:noProof/>
            <w:sz w:val="22"/>
            <w:szCs w:val="22"/>
          </w:rPr>
          <w:tab/>
        </w:r>
        <w:r w:rsidRPr="00C10705">
          <w:rPr>
            <w:rStyle w:val="Hyperlink"/>
            <w:noProof/>
          </w:rPr>
          <w:t>Local Energy Resources and Consumption</w:t>
        </w:r>
        <w:r>
          <w:rPr>
            <w:noProof/>
            <w:webHidden/>
          </w:rPr>
          <w:tab/>
        </w:r>
        <w:r>
          <w:rPr>
            <w:noProof/>
            <w:webHidden/>
          </w:rPr>
          <w:fldChar w:fldCharType="begin"/>
        </w:r>
        <w:r>
          <w:rPr>
            <w:noProof/>
            <w:webHidden/>
          </w:rPr>
          <w:instrText xml:space="preserve"> PAGEREF _Toc157429584 \h </w:instrText>
        </w:r>
        <w:r>
          <w:rPr>
            <w:noProof/>
            <w:webHidden/>
          </w:rPr>
        </w:r>
        <w:r>
          <w:rPr>
            <w:noProof/>
            <w:webHidden/>
          </w:rPr>
          <w:fldChar w:fldCharType="separate"/>
        </w:r>
        <w:r>
          <w:rPr>
            <w:noProof/>
            <w:webHidden/>
          </w:rPr>
          <w:t>15</w:t>
        </w:r>
        <w:r>
          <w:rPr>
            <w:noProof/>
            <w:webHidden/>
          </w:rPr>
          <w:fldChar w:fldCharType="end"/>
        </w:r>
      </w:hyperlink>
    </w:p>
    <w:p w14:paraId="3A3E4BAA" w14:textId="2E228455" w:rsidR="00C1543F" w:rsidRDefault="00C1543F">
      <w:pPr>
        <w:pStyle w:val="TOC2"/>
        <w:rPr>
          <w:rFonts w:asciiTheme="minorHAnsi" w:eastAsiaTheme="minorEastAsia" w:hAnsiTheme="minorHAnsi"/>
          <w:noProof/>
          <w:sz w:val="22"/>
          <w:szCs w:val="22"/>
        </w:rPr>
      </w:pPr>
      <w:hyperlink w:anchor="_Toc157429585" w:history="1">
        <w:r w:rsidRPr="00C10705">
          <w:rPr>
            <w:rStyle w:val="Hyperlink"/>
            <w:noProof/>
          </w:rPr>
          <w:t>3.4</w:t>
        </w:r>
        <w:r>
          <w:rPr>
            <w:rFonts w:asciiTheme="minorHAnsi" w:eastAsiaTheme="minorEastAsia" w:hAnsiTheme="minorHAnsi"/>
            <w:noProof/>
            <w:sz w:val="22"/>
            <w:szCs w:val="22"/>
          </w:rPr>
          <w:tab/>
        </w:r>
        <w:r w:rsidRPr="00C10705">
          <w:rPr>
            <w:rStyle w:val="Hyperlink"/>
            <w:noProof/>
          </w:rPr>
          <w:t>Project Area Conditions</w:t>
        </w:r>
        <w:r>
          <w:rPr>
            <w:noProof/>
            <w:webHidden/>
          </w:rPr>
          <w:tab/>
        </w:r>
        <w:r>
          <w:rPr>
            <w:noProof/>
            <w:webHidden/>
          </w:rPr>
          <w:fldChar w:fldCharType="begin"/>
        </w:r>
        <w:r>
          <w:rPr>
            <w:noProof/>
            <w:webHidden/>
          </w:rPr>
          <w:instrText xml:space="preserve"> PAGEREF _Toc157429585 \h </w:instrText>
        </w:r>
        <w:r>
          <w:rPr>
            <w:noProof/>
            <w:webHidden/>
          </w:rPr>
        </w:r>
        <w:r>
          <w:rPr>
            <w:noProof/>
            <w:webHidden/>
          </w:rPr>
          <w:fldChar w:fldCharType="separate"/>
        </w:r>
        <w:r>
          <w:rPr>
            <w:noProof/>
            <w:webHidden/>
          </w:rPr>
          <w:t>16</w:t>
        </w:r>
        <w:r>
          <w:rPr>
            <w:noProof/>
            <w:webHidden/>
          </w:rPr>
          <w:fldChar w:fldCharType="end"/>
        </w:r>
      </w:hyperlink>
    </w:p>
    <w:p w14:paraId="02E99706" w14:textId="7E6E654D"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86" w:history="1">
        <w:r w:rsidRPr="00C10705">
          <w:rPr>
            <w:rStyle w:val="Hyperlink"/>
            <w:noProof/>
          </w:rPr>
          <w:t>3.4.1</w:t>
        </w:r>
        <w:r>
          <w:rPr>
            <w:rFonts w:asciiTheme="minorHAnsi" w:eastAsiaTheme="minorEastAsia" w:hAnsiTheme="minorHAnsi"/>
            <w:noProof/>
            <w:sz w:val="22"/>
            <w:szCs w:val="22"/>
          </w:rPr>
          <w:tab/>
        </w:r>
        <w:r w:rsidRPr="00C10705">
          <w:rPr>
            <w:rStyle w:val="Hyperlink"/>
            <w:noProof/>
          </w:rPr>
          <w:t>Existing Traffic Conditions</w:t>
        </w:r>
        <w:r>
          <w:rPr>
            <w:noProof/>
            <w:webHidden/>
          </w:rPr>
          <w:tab/>
        </w:r>
        <w:r>
          <w:rPr>
            <w:noProof/>
            <w:webHidden/>
          </w:rPr>
          <w:fldChar w:fldCharType="begin"/>
        </w:r>
        <w:r>
          <w:rPr>
            <w:noProof/>
            <w:webHidden/>
          </w:rPr>
          <w:instrText xml:space="preserve"> PAGEREF _Toc157429586 \h </w:instrText>
        </w:r>
        <w:r>
          <w:rPr>
            <w:noProof/>
            <w:webHidden/>
          </w:rPr>
        </w:r>
        <w:r>
          <w:rPr>
            <w:noProof/>
            <w:webHidden/>
          </w:rPr>
          <w:fldChar w:fldCharType="separate"/>
        </w:r>
        <w:r>
          <w:rPr>
            <w:noProof/>
            <w:webHidden/>
          </w:rPr>
          <w:t>16</w:t>
        </w:r>
        <w:r>
          <w:rPr>
            <w:noProof/>
            <w:webHidden/>
          </w:rPr>
          <w:fldChar w:fldCharType="end"/>
        </w:r>
      </w:hyperlink>
    </w:p>
    <w:p w14:paraId="5653619F" w14:textId="6476A026"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87" w:history="1">
        <w:r w:rsidRPr="00C10705">
          <w:rPr>
            <w:rStyle w:val="Hyperlink"/>
            <w:noProof/>
          </w:rPr>
          <w:t>3.4.2</w:t>
        </w:r>
        <w:r>
          <w:rPr>
            <w:rFonts w:asciiTheme="minorHAnsi" w:eastAsiaTheme="minorEastAsia" w:hAnsiTheme="minorHAnsi"/>
            <w:noProof/>
            <w:sz w:val="22"/>
            <w:szCs w:val="22"/>
          </w:rPr>
          <w:tab/>
        </w:r>
        <w:r w:rsidRPr="00C10705">
          <w:rPr>
            <w:rStyle w:val="Hyperlink"/>
            <w:noProof/>
          </w:rPr>
          <w:t>Existing Vehicle Mix</w:t>
        </w:r>
        <w:r>
          <w:rPr>
            <w:noProof/>
            <w:webHidden/>
          </w:rPr>
          <w:tab/>
        </w:r>
        <w:r>
          <w:rPr>
            <w:noProof/>
            <w:webHidden/>
          </w:rPr>
          <w:fldChar w:fldCharType="begin"/>
        </w:r>
        <w:r>
          <w:rPr>
            <w:noProof/>
            <w:webHidden/>
          </w:rPr>
          <w:instrText xml:space="preserve"> PAGEREF _Toc157429587 \h </w:instrText>
        </w:r>
        <w:r>
          <w:rPr>
            <w:noProof/>
            <w:webHidden/>
          </w:rPr>
        </w:r>
        <w:r>
          <w:rPr>
            <w:noProof/>
            <w:webHidden/>
          </w:rPr>
          <w:fldChar w:fldCharType="separate"/>
        </w:r>
        <w:r>
          <w:rPr>
            <w:noProof/>
            <w:webHidden/>
          </w:rPr>
          <w:t>17</w:t>
        </w:r>
        <w:r>
          <w:rPr>
            <w:noProof/>
            <w:webHidden/>
          </w:rPr>
          <w:fldChar w:fldCharType="end"/>
        </w:r>
      </w:hyperlink>
    </w:p>
    <w:p w14:paraId="57D5038E" w14:textId="4BDB623B"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88" w:history="1">
        <w:r w:rsidRPr="00C10705">
          <w:rPr>
            <w:rStyle w:val="Hyperlink"/>
            <w:noProof/>
          </w:rPr>
          <w:t>3.4.3</w:t>
        </w:r>
        <w:r>
          <w:rPr>
            <w:rFonts w:asciiTheme="minorHAnsi" w:eastAsiaTheme="minorEastAsia" w:hAnsiTheme="minorHAnsi"/>
            <w:noProof/>
            <w:sz w:val="22"/>
            <w:szCs w:val="22"/>
          </w:rPr>
          <w:tab/>
        </w:r>
        <w:r w:rsidRPr="00C10705">
          <w:rPr>
            <w:rStyle w:val="Hyperlink"/>
            <w:noProof/>
          </w:rPr>
          <w:t>Existing Pavement Conditions</w:t>
        </w:r>
        <w:r>
          <w:rPr>
            <w:noProof/>
            <w:webHidden/>
          </w:rPr>
          <w:tab/>
        </w:r>
        <w:r>
          <w:rPr>
            <w:noProof/>
            <w:webHidden/>
          </w:rPr>
          <w:fldChar w:fldCharType="begin"/>
        </w:r>
        <w:r>
          <w:rPr>
            <w:noProof/>
            <w:webHidden/>
          </w:rPr>
          <w:instrText xml:space="preserve"> PAGEREF _Toc157429588 \h </w:instrText>
        </w:r>
        <w:r>
          <w:rPr>
            <w:noProof/>
            <w:webHidden/>
          </w:rPr>
        </w:r>
        <w:r>
          <w:rPr>
            <w:noProof/>
            <w:webHidden/>
          </w:rPr>
          <w:fldChar w:fldCharType="separate"/>
        </w:r>
        <w:r>
          <w:rPr>
            <w:noProof/>
            <w:webHidden/>
          </w:rPr>
          <w:t>18</w:t>
        </w:r>
        <w:r>
          <w:rPr>
            <w:noProof/>
            <w:webHidden/>
          </w:rPr>
          <w:fldChar w:fldCharType="end"/>
        </w:r>
      </w:hyperlink>
    </w:p>
    <w:p w14:paraId="21F6338F" w14:textId="42AE1D75" w:rsidR="00C1543F" w:rsidRDefault="00C1543F">
      <w:pPr>
        <w:pStyle w:val="TOC1"/>
        <w:rPr>
          <w:rFonts w:asciiTheme="minorHAnsi" w:eastAsiaTheme="minorEastAsia" w:hAnsiTheme="minorHAnsi"/>
          <w:noProof/>
          <w:sz w:val="22"/>
          <w:szCs w:val="22"/>
        </w:rPr>
      </w:pPr>
      <w:hyperlink w:anchor="_Toc157429589" w:history="1">
        <w:r w:rsidRPr="00C10705">
          <w:rPr>
            <w:rStyle w:val="Hyperlink"/>
            <w:rFonts w:ascii="Arial Black" w:hAnsi="Arial Black"/>
            <w:noProof/>
          </w:rPr>
          <w:t>Chapter 4</w:t>
        </w:r>
        <w:r>
          <w:rPr>
            <w:rFonts w:asciiTheme="minorHAnsi" w:eastAsiaTheme="minorEastAsia" w:hAnsiTheme="minorHAnsi"/>
            <w:noProof/>
            <w:sz w:val="22"/>
            <w:szCs w:val="22"/>
          </w:rPr>
          <w:tab/>
        </w:r>
        <w:r w:rsidRPr="00C10705">
          <w:rPr>
            <w:rStyle w:val="Hyperlink"/>
            <w:noProof/>
          </w:rPr>
          <w:t>Environmental Consequences</w:t>
        </w:r>
        <w:r>
          <w:rPr>
            <w:noProof/>
            <w:webHidden/>
          </w:rPr>
          <w:tab/>
        </w:r>
        <w:r>
          <w:rPr>
            <w:noProof/>
            <w:webHidden/>
          </w:rPr>
          <w:fldChar w:fldCharType="begin"/>
        </w:r>
        <w:r>
          <w:rPr>
            <w:noProof/>
            <w:webHidden/>
          </w:rPr>
          <w:instrText xml:space="preserve"> PAGEREF _Toc157429589 \h </w:instrText>
        </w:r>
        <w:r>
          <w:rPr>
            <w:noProof/>
            <w:webHidden/>
          </w:rPr>
        </w:r>
        <w:r>
          <w:rPr>
            <w:noProof/>
            <w:webHidden/>
          </w:rPr>
          <w:fldChar w:fldCharType="separate"/>
        </w:r>
        <w:r>
          <w:rPr>
            <w:noProof/>
            <w:webHidden/>
          </w:rPr>
          <w:t>20</w:t>
        </w:r>
        <w:r>
          <w:rPr>
            <w:noProof/>
            <w:webHidden/>
          </w:rPr>
          <w:fldChar w:fldCharType="end"/>
        </w:r>
      </w:hyperlink>
    </w:p>
    <w:p w14:paraId="7D24A7AC" w14:textId="06015F30" w:rsidR="00C1543F" w:rsidRDefault="00C1543F">
      <w:pPr>
        <w:pStyle w:val="TOC2"/>
        <w:rPr>
          <w:rFonts w:asciiTheme="minorHAnsi" w:eastAsiaTheme="minorEastAsia" w:hAnsiTheme="minorHAnsi"/>
          <w:noProof/>
          <w:sz w:val="22"/>
          <w:szCs w:val="22"/>
        </w:rPr>
      </w:pPr>
      <w:hyperlink w:anchor="_Toc157429590" w:history="1">
        <w:r w:rsidRPr="00C10705">
          <w:rPr>
            <w:rStyle w:val="Hyperlink"/>
            <w:noProof/>
          </w:rPr>
          <w:t>4.1</w:t>
        </w:r>
        <w:r>
          <w:rPr>
            <w:rFonts w:asciiTheme="minorHAnsi" w:eastAsiaTheme="minorEastAsia" w:hAnsiTheme="minorHAnsi"/>
            <w:noProof/>
            <w:sz w:val="22"/>
            <w:szCs w:val="22"/>
          </w:rPr>
          <w:tab/>
        </w:r>
        <w:r w:rsidRPr="00C10705">
          <w:rPr>
            <w:rStyle w:val="Hyperlink"/>
            <w:noProof/>
          </w:rPr>
          <w:t>Introduction</w:t>
        </w:r>
        <w:r>
          <w:rPr>
            <w:noProof/>
            <w:webHidden/>
          </w:rPr>
          <w:tab/>
        </w:r>
        <w:r>
          <w:rPr>
            <w:noProof/>
            <w:webHidden/>
          </w:rPr>
          <w:fldChar w:fldCharType="begin"/>
        </w:r>
        <w:r>
          <w:rPr>
            <w:noProof/>
            <w:webHidden/>
          </w:rPr>
          <w:instrText xml:space="preserve"> PAGEREF _Toc157429590 \h </w:instrText>
        </w:r>
        <w:r>
          <w:rPr>
            <w:noProof/>
            <w:webHidden/>
          </w:rPr>
        </w:r>
        <w:r>
          <w:rPr>
            <w:noProof/>
            <w:webHidden/>
          </w:rPr>
          <w:fldChar w:fldCharType="separate"/>
        </w:r>
        <w:r>
          <w:rPr>
            <w:noProof/>
            <w:webHidden/>
          </w:rPr>
          <w:t>20</w:t>
        </w:r>
        <w:r>
          <w:rPr>
            <w:noProof/>
            <w:webHidden/>
          </w:rPr>
          <w:fldChar w:fldCharType="end"/>
        </w:r>
      </w:hyperlink>
    </w:p>
    <w:p w14:paraId="02417091" w14:textId="06ADD4CC" w:rsidR="00C1543F" w:rsidRDefault="00C1543F">
      <w:pPr>
        <w:pStyle w:val="TOC2"/>
        <w:rPr>
          <w:rFonts w:asciiTheme="minorHAnsi" w:eastAsiaTheme="minorEastAsia" w:hAnsiTheme="minorHAnsi"/>
          <w:noProof/>
          <w:sz w:val="22"/>
          <w:szCs w:val="22"/>
        </w:rPr>
      </w:pPr>
      <w:hyperlink w:anchor="_Toc157429591" w:history="1">
        <w:r w:rsidRPr="00C10705">
          <w:rPr>
            <w:rStyle w:val="Hyperlink"/>
            <w:noProof/>
          </w:rPr>
          <w:t>4.2</w:t>
        </w:r>
        <w:r>
          <w:rPr>
            <w:rFonts w:asciiTheme="minorHAnsi" w:eastAsiaTheme="minorEastAsia" w:hAnsiTheme="minorHAnsi"/>
            <w:noProof/>
            <w:sz w:val="22"/>
            <w:szCs w:val="22"/>
          </w:rPr>
          <w:tab/>
        </w:r>
        <w:r w:rsidRPr="00C10705">
          <w:rPr>
            <w:rStyle w:val="Hyperlink"/>
            <w:noProof/>
          </w:rPr>
          <w:t>Direct Energy</w:t>
        </w:r>
        <w:r>
          <w:rPr>
            <w:noProof/>
            <w:webHidden/>
          </w:rPr>
          <w:tab/>
        </w:r>
        <w:r>
          <w:rPr>
            <w:noProof/>
            <w:webHidden/>
          </w:rPr>
          <w:fldChar w:fldCharType="begin"/>
        </w:r>
        <w:r>
          <w:rPr>
            <w:noProof/>
            <w:webHidden/>
          </w:rPr>
          <w:instrText xml:space="preserve"> PAGEREF _Toc157429591 \h </w:instrText>
        </w:r>
        <w:r>
          <w:rPr>
            <w:noProof/>
            <w:webHidden/>
          </w:rPr>
        </w:r>
        <w:r>
          <w:rPr>
            <w:noProof/>
            <w:webHidden/>
          </w:rPr>
          <w:fldChar w:fldCharType="separate"/>
        </w:r>
        <w:r>
          <w:rPr>
            <w:noProof/>
            <w:webHidden/>
          </w:rPr>
          <w:t>21</w:t>
        </w:r>
        <w:r>
          <w:rPr>
            <w:noProof/>
            <w:webHidden/>
          </w:rPr>
          <w:fldChar w:fldCharType="end"/>
        </w:r>
      </w:hyperlink>
    </w:p>
    <w:p w14:paraId="2388208D" w14:textId="43855B55" w:rsidR="00C1543F" w:rsidRDefault="00C1543F">
      <w:pPr>
        <w:pStyle w:val="TOC2"/>
        <w:rPr>
          <w:rFonts w:asciiTheme="minorHAnsi" w:eastAsiaTheme="minorEastAsia" w:hAnsiTheme="minorHAnsi"/>
          <w:noProof/>
          <w:sz w:val="22"/>
          <w:szCs w:val="22"/>
        </w:rPr>
      </w:pPr>
      <w:hyperlink w:anchor="_Toc157429592" w:history="1">
        <w:r w:rsidRPr="00C10705">
          <w:rPr>
            <w:rStyle w:val="Hyperlink"/>
            <w:noProof/>
          </w:rPr>
          <w:t>4.3</w:t>
        </w:r>
        <w:r>
          <w:rPr>
            <w:rFonts w:asciiTheme="minorHAnsi" w:eastAsiaTheme="minorEastAsia" w:hAnsiTheme="minorHAnsi"/>
            <w:noProof/>
            <w:sz w:val="22"/>
            <w:szCs w:val="22"/>
          </w:rPr>
          <w:tab/>
        </w:r>
        <w:r w:rsidRPr="00C10705">
          <w:rPr>
            <w:rStyle w:val="Hyperlink"/>
            <w:noProof/>
          </w:rPr>
          <w:t>Indirect Energy</w:t>
        </w:r>
        <w:r>
          <w:rPr>
            <w:noProof/>
            <w:webHidden/>
          </w:rPr>
          <w:tab/>
        </w:r>
        <w:r>
          <w:rPr>
            <w:noProof/>
            <w:webHidden/>
          </w:rPr>
          <w:fldChar w:fldCharType="begin"/>
        </w:r>
        <w:r>
          <w:rPr>
            <w:noProof/>
            <w:webHidden/>
          </w:rPr>
          <w:instrText xml:space="preserve"> PAGEREF _Toc157429592 \h </w:instrText>
        </w:r>
        <w:r>
          <w:rPr>
            <w:noProof/>
            <w:webHidden/>
          </w:rPr>
        </w:r>
        <w:r>
          <w:rPr>
            <w:noProof/>
            <w:webHidden/>
          </w:rPr>
          <w:fldChar w:fldCharType="separate"/>
        </w:r>
        <w:r>
          <w:rPr>
            <w:noProof/>
            <w:webHidden/>
          </w:rPr>
          <w:t>26</w:t>
        </w:r>
        <w:r>
          <w:rPr>
            <w:noProof/>
            <w:webHidden/>
          </w:rPr>
          <w:fldChar w:fldCharType="end"/>
        </w:r>
      </w:hyperlink>
    </w:p>
    <w:p w14:paraId="38558BB4" w14:textId="10BFEBC1"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93" w:history="1">
        <w:r w:rsidRPr="00C10705">
          <w:rPr>
            <w:rStyle w:val="Hyperlink"/>
            <w:noProof/>
          </w:rPr>
          <w:t>4.3.1</w:t>
        </w:r>
        <w:r>
          <w:rPr>
            <w:rFonts w:asciiTheme="minorHAnsi" w:eastAsiaTheme="minorEastAsia" w:hAnsiTheme="minorHAnsi"/>
            <w:noProof/>
            <w:sz w:val="22"/>
            <w:szCs w:val="22"/>
          </w:rPr>
          <w:tab/>
        </w:r>
        <w:r w:rsidRPr="00C10705">
          <w:rPr>
            <w:rStyle w:val="Hyperlink"/>
            <w:noProof/>
          </w:rPr>
          <w:t>Construction</w:t>
        </w:r>
        <w:r>
          <w:rPr>
            <w:noProof/>
            <w:webHidden/>
          </w:rPr>
          <w:tab/>
        </w:r>
        <w:r>
          <w:rPr>
            <w:noProof/>
            <w:webHidden/>
          </w:rPr>
          <w:fldChar w:fldCharType="begin"/>
        </w:r>
        <w:r>
          <w:rPr>
            <w:noProof/>
            <w:webHidden/>
          </w:rPr>
          <w:instrText xml:space="preserve"> PAGEREF _Toc157429593 \h </w:instrText>
        </w:r>
        <w:r>
          <w:rPr>
            <w:noProof/>
            <w:webHidden/>
          </w:rPr>
        </w:r>
        <w:r>
          <w:rPr>
            <w:noProof/>
            <w:webHidden/>
          </w:rPr>
          <w:fldChar w:fldCharType="separate"/>
        </w:r>
        <w:r>
          <w:rPr>
            <w:noProof/>
            <w:webHidden/>
          </w:rPr>
          <w:t>27</w:t>
        </w:r>
        <w:r>
          <w:rPr>
            <w:noProof/>
            <w:webHidden/>
          </w:rPr>
          <w:fldChar w:fldCharType="end"/>
        </w:r>
      </w:hyperlink>
    </w:p>
    <w:p w14:paraId="44DD5800" w14:textId="4ABE26C9"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94" w:history="1">
        <w:r w:rsidRPr="00C10705">
          <w:rPr>
            <w:rStyle w:val="Hyperlink"/>
            <w:noProof/>
          </w:rPr>
          <w:t>4.3.2</w:t>
        </w:r>
        <w:r>
          <w:rPr>
            <w:rFonts w:asciiTheme="minorHAnsi" w:eastAsiaTheme="minorEastAsia" w:hAnsiTheme="minorHAnsi"/>
            <w:noProof/>
            <w:sz w:val="22"/>
            <w:szCs w:val="22"/>
          </w:rPr>
          <w:tab/>
        </w:r>
        <w:r w:rsidRPr="00C10705">
          <w:rPr>
            <w:rStyle w:val="Hyperlink"/>
            <w:noProof/>
          </w:rPr>
          <w:t>Maintenance</w:t>
        </w:r>
        <w:r>
          <w:rPr>
            <w:noProof/>
            <w:webHidden/>
          </w:rPr>
          <w:tab/>
        </w:r>
        <w:r>
          <w:rPr>
            <w:noProof/>
            <w:webHidden/>
          </w:rPr>
          <w:fldChar w:fldCharType="begin"/>
        </w:r>
        <w:r>
          <w:rPr>
            <w:noProof/>
            <w:webHidden/>
          </w:rPr>
          <w:instrText xml:space="preserve"> PAGEREF _Toc157429594 \h </w:instrText>
        </w:r>
        <w:r>
          <w:rPr>
            <w:noProof/>
            <w:webHidden/>
          </w:rPr>
        </w:r>
        <w:r>
          <w:rPr>
            <w:noProof/>
            <w:webHidden/>
          </w:rPr>
          <w:fldChar w:fldCharType="separate"/>
        </w:r>
        <w:r>
          <w:rPr>
            <w:noProof/>
            <w:webHidden/>
          </w:rPr>
          <w:t>29</w:t>
        </w:r>
        <w:r>
          <w:rPr>
            <w:noProof/>
            <w:webHidden/>
          </w:rPr>
          <w:fldChar w:fldCharType="end"/>
        </w:r>
      </w:hyperlink>
    </w:p>
    <w:p w14:paraId="7A85C925" w14:textId="13C03886" w:rsidR="00C1543F" w:rsidRDefault="00C1543F">
      <w:pPr>
        <w:pStyle w:val="TOC3"/>
        <w:tabs>
          <w:tab w:val="left" w:pos="1320"/>
          <w:tab w:val="right" w:leader="dot" w:pos="9350"/>
        </w:tabs>
        <w:rPr>
          <w:rFonts w:asciiTheme="minorHAnsi" w:eastAsiaTheme="minorEastAsia" w:hAnsiTheme="minorHAnsi"/>
          <w:noProof/>
          <w:sz w:val="22"/>
          <w:szCs w:val="22"/>
        </w:rPr>
      </w:pPr>
      <w:hyperlink w:anchor="_Toc157429595" w:history="1">
        <w:r w:rsidRPr="00C10705">
          <w:rPr>
            <w:rStyle w:val="Hyperlink"/>
            <w:noProof/>
          </w:rPr>
          <w:t>4.3.3</w:t>
        </w:r>
        <w:r>
          <w:rPr>
            <w:rFonts w:asciiTheme="minorHAnsi" w:eastAsiaTheme="minorEastAsia" w:hAnsiTheme="minorHAnsi"/>
            <w:noProof/>
            <w:sz w:val="22"/>
            <w:szCs w:val="22"/>
          </w:rPr>
          <w:tab/>
        </w:r>
        <w:r w:rsidRPr="00C10705">
          <w:rPr>
            <w:rStyle w:val="Hyperlink"/>
            <w:noProof/>
          </w:rPr>
          <w:t>Operations</w:t>
        </w:r>
        <w:r>
          <w:rPr>
            <w:noProof/>
            <w:webHidden/>
          </w:rPr>
          <w:tab/>
        </w:r>
        <w:r>
          <w:rPr>
            <w:noProof/>
            <w:webHidden/>
          </w:rPr>
          <w:fldChar w:fldCharType="begin"/>
        </w:r>
        <w:r>
          <w:rPr>
            <w:noProof/>
            <w:webHidden/>
          </w:rPr>
          <w:instrText xml:space="preserve"> PAGEREF _Toc157429595 \h </w:instrText>
        </w:r>
        <w:r>
          <w:rPr>
            <w:noProof/>
            <w:webHidden/>
          </w:rPr>
        </w:r>
        <w:r>
          <w:rPr>
            <w:noProof/>
            <w:webHidden/>
          </w:rPr>
          <w:fldChar w:fldCharType="separate"/>
        </w:r>
        <w:r>
          <w:rPr>
            <w:noProof/>
            <w:webHidden/>
          </w:rPr>
          <w:t>31</w:t>
        </w:r>
        <w:r>
          <w:rPr>
            <w:noProof/>
            <w:webHidden/>
          </w:rPr>
          <w:fldChar w:fldCharType="end"/>
        </w:r>
      </w:hyperlink>
    </w:p>
    <w:p w14:paraId="798285C7" w14:textId="5586D906" w:rsidR="00C1543F" w:rsidRDefault="00C1543F">
      <w:pPr>
        <w:pStyle w:val="TOC2"/>
        <w:rPr>
          <w:rFonts w:asciiTheme="minorHAnsi" w:eastAsiaTheme="minorEastAsia" w:hAnsiTheme="minorHAnsi"/>
          <w:noProof/>
          <w:sz w:val="22"/>
          <w:szCs w:val="22"/>
        </w:rPr>
      </w:pPr>
      <w:hyperlink w:anchor="_Toc157429596" w:history="1">
        <w:r w:rsidRPr="00C10705">
          <w:rPr>
            <w:rStyle w:val="Hyperlink"/>
            <w:noProof/>
          </w:rPr>
          <w:t>4.4</w:t>
        </w:r>
        <w:r>
          <w:rPr>
            <w:rFonts w:asciiTheme="minorHAnsi" w:eastAsiaTheme="minorEastAsia" w:hAnsiTheme="minorHAnsi"/>
            <w:noProof/>
            <w:sz w:val="22"/>
            <w:szCs w:val="22"/>
          </w:rPr>
          <w:tab/>
        </w:r>
        <w:r w:rsidRPr="00C10705">
          <w:rPr>
            <w:rStyle w:val="Hyperlink"/>
            <w:noProof/>
          </w:rPr>
          <w:t>Total Energy</w:t>
        </w:r>
        <w:r>
          <w:rPr>
            <w:noProof/>
            <w:webHidden/>
          </w:rPr>
          <w:tab/>
        </w:r>
        <w:r>
          <w:rPr>
            <w:noProof/>
            <w:webHidden/>
          </w:rPr>
          <w:fldChar w:fldCharType="begin"/>
        </w:r>
        <w:r>
          <w:rPr>
            <w:noProof/>
            <w:webHidden/>
          </w:rPr>
          <w:instrText xml:space="preserve"> PAGEREF _Toc157429596 \h </w:instrText>
        </w:r>
        <w:r>
          <w:rPr>
            <w:noProof/>
            <w:webHidden/>
          </w:rPr>
        </w:r>
        <w:r>
          <w:rPr>
            <w:noProof/>
            <w:webHidden/>
          </w:rPr>
          <w:fldChar w:fldCharType="separate"/>
        </w:r>
        <w:r>
          <w:rPr>
            <w:noProof/>
            <w:webHidden/>
          </w:rPr>
          <w:t>33</w:t>
        </w:r>
        <w:r>
          <w:rPr>
            <w:noProof/>
            <w:webHidden/>
          </w:rPr>
          <w:fldChar w:fldCharType="end"/>
        </w:r>
      </w:hyperlink>
    </w:p>
    <w:p w14:paraId="1F530E85" w14:textId="70F62C60" w:rsidR="00C1543F" w:rsidRDefault="00C1543F">
      <w:pPr>
        <w:pStyle w:val="TOC2"/>
        <w:rPr>
          <w:rFonts w:asciiTheme="minorHAnsi" w:eastAsiaTheme="minorEastAsia" w:hAnsiTheme="minorHAnsi"/>
          <w:noProof/>
          <w:sz w:val="22"/>
          <w:szCs w:val="22"/>
        </w:rPr>
      </w:pPr>
      <w:hyperlink w:anchor="_Toc157429597" w:history="1">
        <w:r w:rsidRPr="00C10705">
          <w:rPr>
            <w:rStyle w:val="Hyperlink"/>
            <w:noProof/>
          </w:rPr>
          <w:t>4.5</w:t>
        </w:r>
        <w:r>
          <w:rPr>
            <w:rFonts w:asciiTheme="minorHAnsi" w:eastAsiaTheme="minorEastAsia" w:hAnsiTheme="minorHAnsi"/>
            <w:noProof/>
            <w:sz w:val="22"/>
            <w:szCs w:val="22"/>
          </w:rPr>
          <w:tab/>
        </w:r>
        <w:r w:rsidRPr="00C10705">
          <w:rPr>
            <w:rStyle w:val="Hyperlink"/>
            <w:noProof/>
          </w:rPr>
          <w:t>Consistency with Energy Regulations, Policies, and Legislation</w:t>
        </w:r>
        <w:r>
          <w:rPr>
            <w:noProof/>
            <w:webHidden/>
          </w:rPr>
          <w:tab/>
        </w:r>
        <w:r>
          <w:rPr>
            <w:noProof/>
            <w:webHidden/>
          </w:rPr>
          <w:fldChar w:fldCharType="begin"/>
        </w:r>
        <w:r>
          <w:rPr>
            <w:noProof/>
            <w:webHidden/>
          </w:rPr>
          <w:instrText xml:space="preserve"> PAGEREF _Toc157429597 \h </w:instrText>
        </w:r>
        <w:r>
          <w:rPr>
            <w:noProof/>
            <w:webHidden/>
          </w:rPr>
        </w:r>
        <w:r>
          <w:rPr>
            <w:noProof/>
            <w:webHidden/>
          </w:rPr>
          <w:fldChar w:fldCharType="separate"/>
        </w:r>
        <w:r>
          <w:rPr>
            <w:noProof/>
            <w:webHidden/>
          </w:rPr>
          <w:t>34</w:t>
        </w:r>
        <w:r>
          <w:rPr>
            <w:noProof/>
            <w:webHidden/>
          </w:rPr>
          <w:fldChar w:fldCharType="end"/>
        </w:r>
      </w:hyperlink>
    </w:p>
    <w:p w14:paraId="5060B518" w14:textId="34468195" w:rsidR="00C1543F" w:rsidRDefault="00C1543F">
      <w:pPr>
        <w:pStyle w:val="TOC1"/>
        <w:rPr>
          <w:rFonts w:asciiTheme="minorHAnsi" w:eastAsiaTheme="minorEastAsia" w:hAnsiTheme="minorHAnsi"/>
          <w:noProof/>
          <w:sz w:val="22"/>
          <w:szCs w:val="22"/>
        </w:rPr>
      </w:pPr>
      <w:hyperlink w:anchor="_Toc157429598" w:history="1">
        <w:r w:rsidRPr="00C10705">
          <w:rPr>
            <w:rStyle w:val="Hyperlink"/>
            <w:rFonts w:ascii="Arial Black" w:hAnsi="Arial Black"/>
            <w:noProof/>
          </w:rPr>
          <w:t>Chapter 5</w:t>
        </w:r>
        <w:r>
          <w:rPr>
            <w:rFonts w:asciiTheme="minorHAnsi" w:eastAsiaTheme="minorEastAsia" w:hAnsiTheme="minorHAnsi"/>
            <w:noProof/>
            <w:sz w:val="22"/>
            <w:szCs w:val="22"/>
          </w:rPr>
          <w:tab/>
        </w:r>
        <w:r w:rsidRPr="00C10705">
          <w:rPr>
            <w:rStyle w:val="Hyperlink"/>
            <w:noProof/>
          </w:rPr>
          <w:t>Avoidance, Minimization, and/or Mitigation Measures</w:t>
        </w:r>
        <w:r>
          <w:rPr>
            <w:noProof/>
            <w:webHidden/>
          </w:rPr>
          <w:tab/>
        </w:r>
        <w:r>
          <w:rPr>
            <w:noProof/>
            <w:webHidden/>
          </w:rPr>
          <w:fldChar w:fldCharType="begin"/>
        </w:r>
        <w:r>
          <w:rPr>
            <w:noProof/>
            <w:webHidden/>
          </w:rPr>
          <w:instrText xml:space="preserve"> PAGEREF _Toc157429598 \h </w:instrText>
        </w:r>
        <w:r>
          <w:rPr>
            <w:noProof/>
            <w:webHidden/>
          </w:rPr>
        </w:r>
        <w:r>
          <w:rPr>
            <w:noProof/>
            <w:webHidden/>
          </w:rPr>
          <w:fldChar w:fldCharType="separate"/>
        </w:r>
        <w:r>
          <w:rPr>
            <w:noProof/>
            <w:webHidden/>
          </w:rPr>
          <w:t>36</w:t>
        </w:r>
        <w:r>
          <w:rPr>
            <w:noProof/>
            <w:webHidden/>
          </w:rPr>
          <w:fldChar w:fldCharType="end"/>
        </w:r>
      </w:hyperlink>
    </w:p>
    <w:p w14:paraId="29103D13" w14:textId="77399B20" w:rsidR="00C1543F" w:rsidRDefault="00C1543F">
      <w:pPr>
        <w:pStyle w:val="TOC2"/>
        <w:rPr>
          <w:rFonts w:asciiTheme="minorHAnsi" w:eastAsiaTheme="minorEastAsia" w:hAnsiTheme="minorHAnsi"/>
          <w:noProof/>
          <w:sz w:val="22"/>
          <w:szCs w:val="22"/>
        </w:rPr>
      </w:pPr>
      <w:hyperlink w:anchor="_Toc157429599" w:history="1">
        <w:r w:rsidRPr="00C10705">
          <w:rPr>
            <w:rStyle w:val="Hyperlink"/>
            <w:noProof/>
          </w:rPr>
          <w:t>5.1</w:t>
        </w:r>
        <w:r>
          <w:rPr>
            <w:rFonts w:asciiTheme="minorHAnsi" w:eastAsiaTheme="minorEastAsia" w:hAnsiTheme="minorHAnsi"/>
            <w:noProof/>
            <w:sz w:val="22"/>
            <w:szCs w:val="22"/>
          </w:rPr>
          <w:tab/>
        </w:r>
        <w:r w:rsidRPr="00C10705">
          <w:rPr>
            <w:rStyle w:val="Hyperlink"/>
            <w:noProof/>
          </w:rPr>
          <w:t>Direct Energy</w:t>
        </w:r>
        <w:r>
          <w:rPr>
            <w:noProof/>
            <w:webHidden/>
          </w:rPr>
          <w:tab/>
        </w:r>
        <w:r>
          <w:rPr>
            <w:noProof/>
            <w:webHidden/>
          </w:rPr>
          <w:fldChar w:fldCharType="begin"/>
        </w:r>
        <w:r>
          <w:rPr>
            <w:noProof/>
            <w:webHidden/>
          </w:rPr>
          <w:instrText xml:space="preserve"> PAGEREF _Toc157429599 \h </w:instrText>
        </w:r>
        <w:r>
          <w:rPr>
            <w:noProof/>
            <w:webHidden/>
          </w:rPr>
        </w:r>
        <w:r>
          <w:rPr>
            <w:noProof/>
            <w:webHidden/>
          </w:rPr>
          <w:fldChar w:fldCharType="separate"/>
        </w:r>
        <w:r>
          <w:rPr>
            <w:noProof/>
            <w:webHidden/>
          </w:rPr>
          <w:t>36</w:t>
        </w:r>
        <w:r>
          <w:rPr>
            <w:noProof/>
            <w:webHidden/>
          </w:rPr>
          <w:fldChar w:fldCharType="end"/>
        </w:r>
      </w:hyperlink>
    </w:p>
    <w:p w14:paraId="6F03D632" w14:textId="54CD949D" w:rsidR="00C1543F" w:rsidRDefault="00C1543F">
      <w:pPr>
        <w:pStyle w:val="TOC2"/>
        <w:rPr>
          <w:rFonts w:asciiTheme="minorHAnsi" w:eastAsiaTheme="minorEastAsia" w:hAnsiTheme="minorHAnsi"/>
          <w:noProof/>
          <w:sz w:val="22"/>
          <w:szCs w:val="22"/>
        </w:rPr>
      </w:pPr>
      <w:hyperlink w:anchor="_Toc157429600" w:history="1">
        <w:r w:rsidRPr="00C10705">
          <w:rPr>
            <w:rStyle w:val="Hyperlink"/>
            <w:noProof/>
          </w:rPr>
          <w:t>5.2</w:t>
        </w:r>
        <w:r>
          <w:rPr>
            <w:rFonts w:asciiTheme="minorHAnsi" w:eastAsiaTheme="minorEastAsia" w:hAnsiTheme="minorHAnsi"/>
            <w:noProof/>
            <w:sz w:val="22"/>
            <w:szCs w:val="22"/>
          </w:rPr>
          <w:tab/>
        </w:r>
        <w:r w:rsidRPr="00C10705">
          <w:rPr>
            <w:rStyle w:val="Hyperlink"/>
            <w:noProof/>
          </w:rPr>
          <w:t>Indirect Energy</w:t>
        </w:r>
        <w:r>
          <w:rPr>
            <w:noProof/>
            <w:webHidden/>
          </w:rPr>
          <w:tab/>
        </w:r>
        <w:r>
          <w:rPr>
            <w:noProof/>
            <w:webHidden/>
          </w:rPr>
          <w:fldChar w:fldCharType="begin"/>
        </w:r>
        <w:r>
          <w:rPr>
            <w:noProof/>
            <w:webHidden/>
          </w:rPr>
          <w:instrText xml:space="preserve"> PAGEREF _Toc157429600 \h </w:instrText>
        </w:r>
        <w:r>
          <w:rPr>
            <w:noProof/>
            <w:webHidden/>
          </w:rPr>
        </w:r>
        <w:r>
          <w:rPr>
            <w:noProof/>
            <w:webHidden/>
          </w:rPr>
          <w:fldChar w:fldCharType="separate"/>
        </w:r>
        <w:r>
          <w:rPr>
            <w:noProof/>
            <w:webHidden/>
          </w:rPr>
          <w:t>36</w:t>
        </w:r>
        <w:r>
          <w:rPr>
            <w:noProof/>
            <w:webHidden/>
          </w:rPr>
          <w:fldChar w:fldCharType="end"/>
        </w:r>
      </w:hyperlink>
    </w:p>
    <w:p w14:paraId="013D2345" w14:textId="79DEB3E2" w:rsidR="00C1543F" w:rsidRDefault="00C1543F">
      <w:pPr>
        <w:pStyle w:val="TOC1"/>
        <w:rPr>
          <w:rFonts w:asciiTheme="minorHAnsi" w:eastAsiaTheme="minorEastAsia" w:hAnsiTheme="minorHAnsi"/>
          <w:noProof/>
          <w:sz w:val="22"/>
          <w:szCs w:val="22"/>
        </w:rPr>
      </w:pPr>
      <w:hyperlink w:anchor="_Toc157429601" w:history="1">
        <w:r w:rsidRPr="00C10705">
          <w:rPr>
            <w:rStyle w:val="Hyperlink"/>
            <w:rFonts w:ascii="Arial Black" w:hAnsi="Arial Black"/>
            <w:noProof/>
          </w:rPr>
          <w:t>Chapter 6</w:t>
        </w:r>
        <w:r>
          <w:rPr>
            <w:rFonts w:asciiTheme="minorHAnsi" w:eastAsiaTheme="minorEastAsia" w:hAnsiTheme="minorHAnsi"/>
            <w:noProof/>
            <w:sz w:val="22"/>
            <w:szCs w:val="22"/>
          </w:rPr>
          <w:tab/>
        </w:r>
        <w:r w:rsidRPr="00C10705">
          <w:rPr>
            <w:rStyle w:val="Hyperlink"/>
            <w:noProof/>
          </w:rPr>
          <w:t>Conclusions</w:t>
        </w:r>
        <w:r>
          <w:rPr>
            <w:noProof/>
            <w:webHidden/>
          </w:rPr>
          <w:tab/>
        </w:r>
        <w:r>
          <w:rPr>
            <w:noProof/>
            <w:webHidden/>
          </w:rPr>
          <w:fldChar w:fldCharType="begin"/>
        </w:r>
        <w:r>
          <w:rPr>
            <w:noProof/>
            <w:webHidden/>
          </w:rPr>
          <w:instrText xml:space="preserve"> PAGEREF _Toc157429601 \h </w:instrText>
        </w:r>
        <w:r>
          <w:rPr>
            <w:noProof/>
            <w:webHidden/>
          </w:rPr>
        </w:r>
        <w:r>
          <w:rPr>
            <w:noProof/>
            <w:webHidden/>
          </w:rPr>
          <w:fldChar w:fldCharType="separate"/>
        </w:r>
        <w:r>
          <w:rPr>
            <w:noProof/>
            <w:webHidden/>
          </w:rPr>
          <w:t>37</w:t>
        </w:r>
        <w:r>
          <w:rPr>
            <w:noProof/>
            <w:webHidden/>
          </w:rPr>
          <w:fldChar w:fldCharType="end"/>
        </w:r>
      </w:hyperlink>
    </w:p>
    <w:p w14:paraId="217EBF26" w14:textId="2DDD2FBF" w:rsidR="00C1543F" w:rsidRDefault="00C1543F">
      <w:pPr>
        <w:pStyle w:val="TOC1"/>
        <w:rPr>
          <w:rFonts w:asciiTheme="minorHAnsi" w:eastAsiaTheme="minorEastAsia" w:hAnsiTheme="minorHAnsi"/>
          <w:noProof/>
          <w:sz w:val="22"/>
          <w:szCs w:val="22"/>
        </w:rPr>
      </w:pPr>
      <w:hyperlink w:anchor="_Toc157429602" w:history="1">
        <w:r w:rsidRPr="00C10705">
          <w:rPr>
            <w:rStyle w:val="Hyperlink"/>
            <w:rFonts w:ascii="Arial Black" w:hAnsi="Arial Black"/>
            <w:noProof/>
          </w:rPr>
          <w:t>Chapter 7</w:t>
        </w:r>
        <w:r>
          <w:rPr>
            <w:rFonts w:asciiTheme="minorHAnsi" w:eastAsiaTheme="minorEastAsia" w:hAnsiTheme="minorHAnsi"/>
            <w:noProof/>
            <w:sz w:val="22"/>
            <w:szCs w:val="22"/>
          </w:rPr>
          <w:tab/>
        </w:r>
        <w:r w:rsidRPr="00C10705">
          <w:rPr>
            <w:rStyle w:val="Hyperlink"/>
            <w:noProof/>
          </w:rPr>
          <w:t>References Cited</w:t>
        </w:r>
        <w:r>
          <w:rPr>
            <w:noProof/>
            <w:webHidden/>
          </w:rPr>
          <w:tab/>
        </w:r>
        <w:r>
          <w:rPr>
            <w:noProof/>
            <w:webHidden/>
          </w:rPr>
          <w:fldChar w:fldCharType="begin"/>
        </w:r>
        <w:r>
          <w:rPr>
            <w:noProof/>
            <w:webHidden/>
          </w:rPr>
          <w:instrText xml:space="preserve"> PAGEREF _Toc157429602 \h </w:instrText>
        </w:r>
        <w:r>
          <w:rPr>
            <w:noProof/>
            <w:webHidden/>
          </w:rPr>
        </w:r>
        <w:r>
          <w:rPr>
            <w:noProof/>
            <w:webHidden/>
          </w:rPr>
          <w:fldChar w:fldCharType="separate"/>
        </w:r>
        <w:r>
          <w:rPr>
            <w:noProof/>
            <w:webHidden/>
          </w:rPr>
          <w:t>39</w:t>
        </w:r>
        <w:r>
          <w:rPr>
            <w:noProof/>
            <w:webHidden/>
          </w:rPr>
          <w:fldChar w:fldCharType="end"/>
        </w:r>
      </w:hyperlink>
    </w:p>
    <w:p w14:paraId="1677C74F" w14:textId="4FFD5573" w:rsidR="00C1543F" w:rsidRDefault="00C1543F">
      <w:pPr>
        <w:pStyle w:val="TOC1"/>
        <w:rPr>
          <w:rFonts w:asciiTheme="minorHAnsi" w:eastAsiaTheme="minorEastAsia" w:hAnsiTheme="minorHAnsi"/>
          <w:noProof/>
          <w:sz w:val="22"/>
          <w:szCs w:val="22"/>
        </w:rPr>
      </w:pPr>
      <w:hyperlink w:anchor="_Toc157429603" w:history="1">
        <w:r w:rsidRPr="00C10705">
          <w:rPr>
            <w:rStyle w:val="Hyperlink"/>
            <w:rFonts w:ascii="Arial Black" w:hAnsi="Arial Black"/>
            <w:noProof/>
          </w:rPr>
          <w:t>Appendix A</w:t>
        </w:r>
        <w:r>
          <w:rPr>
            <w:rFonts w:asciiTheme="minorHAnsi" w:eastAsiaTheme="minorEastAsia" w:hAnsiTheme="minorHAnsi"/>
            <w:noProof/>
            <w:sz w:val="22"/>
            <w:szCs w:val="22"/>
          </w:rPr>
          <w:tab/>
        </w:r>
        <w:r w:rsidRPr="00C10705">
          <w:rPr>
            <w:rStyle w:val="Hyperlink"/>
            <w:noProof/>
          </w:rPr>
          <w:t>Enter title</w:t>
        </w:r>
        <w:r>
          <w:rPr>
            <w:noProof/>
            <w:webHidden/>
          </w:rPr>
          <w:tab/>
        </w:r>
        <w:r>
          <w:rPr>
            <w:noProof/>
            <w:webHidden/>
          </w:rPr>
          <w:fldChar w:fldCharType="begin"/>
        </w:r>
        <w:r>
          <w:rPr>
            <w:noProof/>
            <w:webHidden/>
          </w:rPr>
          <w:instrText xml:space="preserve"> PAGEREF _Toc157429603 \h </w:instrText>
        </w:r>
        <w:r>
          <w:rPr>
            <w:noProof/>
            <w:webHidden/>
          </w:rPr>
        </w:r>
        <w:r>
          <w:rPr>
            <w:noProof/>
            <w:webHidden/>
          </w:rPr>
          <w:fldChar w:fldCharType="separate"/>
        </w:r>
        <w:r>
          <w:rPr>
            <w:noProof/>
            <w:webHidden/>
          </w:rPr>
          <w:t>42</w:t>
        </w:r>
        <w:r>
          <w:rPr>
            <w:noProof/>
            <w:webHidden/>
          </w:rPr>
          <w:fldChar w:fldCharType="end"/>
        </w:r>
      </w:hyperlink>
    </w:p>
    <w:p w14:paraId="0C25F104" w14:textId="287B32F6" w:rsidR="00C1543F" w:rsidRDefault="00C1543F">
      <w:pPr>
        <w:pStyle w:val="TOC1"/>
        <w:rPr>
          <w:rFonts w:asciiTheme="minorHAnsi" w:eastAsiaTheme="minorEastAsia" w:hAnsiTheme="minorHAnsi"/>
          <w:noProof/>
          <w:sz w:val="22"/>
          <w:szCs w:val="22"/>
        </w:rPr>
      </w:pPr>
      <w:hyperlink w:anchor="_Toc157429604" w:history="1">
        <w:r w:rsidRPr="00C10705">
          <w:rPr>
            <w:rStyle w:val="Hyperlink"/>
            <w:rFonts w:ascii="Arial Black" w:hAnsi="Arial Black"/>
            <w:noProof/>
          </w:rPr>
          <w:t>Appendix B</w:t>
        </w:r>
        <w:r>
          <w:rPr>
            <w:rFonts w:asciiTheme="minorHAnsi" w:eastAsiaTheme="minorEastAsia" w:hAnsiTheme="minorHAnsi"/>
            <w:noProof/>
            <w:sz w:val="22"/>
            <w:szCs w:val="22"/>
          </w:rPr>
          <w:tab/>
        </w:r>
        <w:r w:rsidRPr="00C10705">
          <w:rPr>
            <w:rStyle w:val="Hyperlink"/>
            <w:noProof/>
          </w:rPr>
          <w:t>Enter title</w:t>
        </w:r>
        <w:r>
          <w:rPr>
            <w:noProof/>
            <w:webHidden/>
          </w:rPr>
          <w:tab/>
        </w:r>
        <w:r>
          <w:rPr>
            <w:noProof/>
            <w:webHidden/>
          </w:rPr>
          <w:fldChar w:fldCharType="begin"/>
        </w:r>
        <w:r>
          <w:rPr>
            <w:noProof/>
            <w:webHidden/>
          </w:rPr>
          <w:instrText xml:space="preserve"> PAGEREF _Toc157429604 \h </w:instrText>
        </w:r>
        <w:r>
          <w:rPr>
            <w:noProof/>
            <w:webHidden/>
          </w:rPr>
        </w:r>
        <w:r>
          <w:rPr>
            <w:noProof/>
            <w:webHidden/>
          </w:rPr>
          <w:fldChar w:fldCharType="separate"/>
        </w:r>
        <w:r>
          <w:rPr>
            <w:noProof/>
            <w:webHidden/>
          </w:rPr>
          <w:t>43</w:t>
        </w:r>
        <w:r>
          <w:rPr>
            <w:noProof/>
            <w:webHidden/>
          </w:rPr>
          <w:fldChar w:fldCharType="end"/>
        </w:r>
      </w:hyperlink>
    </w:p>
    <w:p w14:paraId="269BD0FA" w14:textId="098FC702" w:rsidR="00C1543F" w:rsidRDefault="00C1543F">
      <w:pPr>
        <w:pStyle w:val="TOC1"/>
        <w:rPr>
          <w:rFonts w:asciiTheme="minorHAnsi" w:eastAsiaTheme="minorEastAsia" w:hAnsiTheme="minorHAnsi"/>
          <w:noProof/>
          <w:sz w:val="22"/>
          <w:szCs w:val="22"/>
        </w:rPr>
      </w:pPr>
      <w:hyperlink w:anchor="_Toc157429605" w:history="1">
        <w:r w:rsidRPr="00C10705">
          <w:rPr>
            <w:rStyle w:val="Hyperlink"/>
            <w:rFonts w:ascii="Arial Black" w:hAnsi="Arial Black"/>
            <w:noProof/>
          </w:rPr>
          <w:t>Appendix C</w:t>
        </w:r>
        <w:r>
          <w:rPr>
            <w:rFonts w:asciiTheme="minorHAnsi" w:eastAsiaTheme="minorEastAsia" w:hAnsiTheme="minorHAnsi"/>
            <w:noProof/>
            <w:sz w:val="22"/>
            <w:szCs w:val="22"/>
          </w:rPr>
          <w:tab/>
        </w:r>
        <w:r w:rsidRPr="00C10705">
          <w:rPr>
            <w:rStyle w:val="Hyperlink"/>
            <w:noProof/>
          </w:rPr>
          <w:t>Enter title</w:t>
        </w:r>
        <w:r>
          <w:rPr>
            <w:noProof/>
            <w:webHidden/>
          </w:rPr>
          <w:tab/>
        </w:r>
        <w:r>
          <w:rPr>
            <w:noProof/>
            <w:webHidden/>
          </w:rPr>
          <w:fldChar w:fldCharType="begin"/>
        </w:r>
        <w:r>
          <w:rPr>
            <w:noProof/>
            <w:webHidden/>
          </w:rPr>
          <w:instrText xml:space="preserve"> PAGEREF _Toc157429605 \h </w:instrText>
        </w:r>
        <w:r>
          <w:rPr>
            <w:noProof/>
            <w:webHidden/>
          </w:rPr>
        </w:r>
        <w:r>
          <w:rPr>
            <w:noProof/>
            <w:webHidden/>
          </w:rPr>
          <w:fldChar w:fldCharType="separate"/>
        </w:r>
        <w:r>
          <w:rPr>
            <w:noProof/>
            <w:webHidden/>
          </w:rPr>
          <w:t>44</w:t>
        </w:r>
        <w:r>
          <w:rPr>
            <w:noProof/>
            <w:webHidden/>
          </w:rPr>
          <w:fldChar w:fldCharType="end"/>
        </w:r>
      </w:hyperlink>
    </w:p>
    <w:p w14:paraId="42ACD096" w14:textId="5D91E65F" w:rsidR="00C1543F" w:rsidRDefault="00C1543F">
      <w:pPr>
        <w:pStyle w:val="TOC1"/>
        <w:rPr>
          <w:rFonts w:asciiTheme="minorHAnsi" w:eastAsiaTheme="minorEastAsia" w:hAnsiTheme="minorHAnsi"/>
          <w:noProof/>
          <w:sz w:val="22"/>
          <w:szCs w:val="22"/>
        </w:rPr>
      </w:pPr>
      <w:hyperlink w:anchor="_Toc157429606" w:history="1">
        <w:r w:rsidRPr="00C10705">
          <w:rPr>
            <w:rStyle w:val="Hyperlink"/>
            <w:rFonts w:ascii="Arial Black" w:hAnsi="Arial Black"/>
            <w:noProof/>
          </w:rPr>
          <w:t>Appendix D</w:t>
        </w:r>
        <w:r>
          <w:rPr>
            <w:rFonts w:asciiTheme="minorHAnsi" w:eastAsiaTheme="minorEastAsia" w:hAnsiTheme="minorHAnsi"/>
            <w:noProof/>
            <w:sz w:val="22"/>
            <w:szCs w:val="22"/>
          </w:rPr>
          <w:tab/>
        </w:r>
        <w:r w:rsidRPr="00C10705">
          <w:rPr>
            <w:rStyle w:val="Hyperlink"/>
            <w:noProof/>
          </w:rPr>
          <w:t>Enter title</w:t>
        </w:r>
        <w:r>
          <w:rPr>
            <w:noProof/>
            <w:webHidden/>
          </w:rPr>
          <w:tab/>
        </w:r>
        <w:r>
          <w:rPr>
            <w:noProof/>
            <w:webHidden/>
          </w:rPr>
          <w:fldChar w:fldCharType="begin"/>
        </w:r>
        <w:r>
          <w:rPr>
            <w:noProof/>
            <w:webHidden/>
          </w:rPr>
          <w:instrText xml:space="preserve"> PAGEREF _Toc157429606 \h </w:instrText>
        </w:r>
        <w:r>
          <w:rPr>
            <w:noProof/>
            <w:webHidden/>
          </w:rPr>
        </w:r>
        <w:r>
          <w:rPr>
            <w:noProof/>
            <w:webHidden/>
          </w:rPr>
          <w:fldChar w:fldCharType="separate"/>
        </w:r>
        <w:r>
          <w:rPr>
            <w:noProof/>
            <w:webHidden/>
          </w:rPr>
          <w:t>45</w:t>
        </w:r>
        <w:r>
          <w:rPr>
            <w:noProof/>
            <w:webHidden/>
          </w:rPr>
          <w:fldChar w:fldCharType="end"/>
        </w:r>
      </w:hyperlink>
    </w:p>
    <w:p w14:paraId="70AD8465" w14:textId="7ACAF0CE" w:rsidR="00E12AC5" w:rsidRPr="00D23719" w:rsidRDefault="00E12AC5" w:rsidP="00E12AC5">
      <w:r>
        <w:fldChar w:fldCharType="end"/>
      </w:r>
    </w:p>
    <w:p w14:paraId="765C3B88" w14:textId="4AD7C009" w:rsidR="00241FC9" w:rsidRDefault="00241FC9">
      <w:pPr>
        <w:rPr>
          <w:highlight w:val="yellow"/>
        </w:rPr>
      </w:pPr>
    </w:p>
    <w:p w14:paraId="150AC35C" w14:textId="00BD39BA" w:rsidR="004244CB" w:rsidRPr="00407A1F" w:rsidRDefault="004244CB">
      <w:pPr>
        <w:rPr>
          <w:highlight w:val="yellow"/>
        </w:rPr>
      </w:pPr>
      <w:r w:rsidRPr="00407A1F">
        <w:rPr>
          <w:highlight w:val="yellow"/>
        </w:rPr>
        <w:br w:type="page"/>
      </w:r>
    </w:p>
    <w:p w14:paraId="174A9C2D" w14:textId="77777777" w:rsidR="00F961F7" w:rsidRPr="003041D4" w:rsidRDefault="00F961F7" w:rsidP="00DA75AA">
      <w:pPr>
        <w:pStyle w:val="IntroHeading1"/>
      </w:pPr>
      <w:bookmarkStart w:id="18" w:name="_Toc117166482"/>
      <w:bookmarkStart w:id="19" w:name="_Toc150334756"/>
      <w:bookmarkStart w:id="20" w:name="_Toc157429564"/>
      <w:r w:rsidRPr="003041D4">
        <w:lastRenderedPageBreak/>
        <w:t>List of Tables</w:t>
      </w:r>
      <w:bookmarkEnd w:id="18"/>
      <w:bookmarkEnd w:id="19"/>
      <w:bookmarkEnd w:id="20"/>
    </w:p>
    <w:p w14:paraId="3E524021" w14:textId="77777777" w:rsidR="00D23719" w:rsidRDefault="00D23719" w:rsidP="00D23719">
      <w:pPr>
        <w:pStyle w:val="IntroGuidanceHeading1"/>
      </w:pPr>
      <w:bookmarkStart w:id="21" w:name="_Toc117166483"/>
      <w:r>
        <w:t>GUIDANCE</w:t>
      </w:r>
    </w:p>
    <w:p w14:paraId="7473029C" w14:textId="7544432D" w:rsidR="00D23719" w:rsidRPr="00D23719" w:rsidRDefault="008A5A3E" w:rsidP="00D23719">
      <w:pPr>
        <w:rPr>
          <w:color w:val="0000FF" w:themeColor="accent1"/>
        </w:rPr>
      </w:pPr>
      <w:r w:rsidRPr="008A5A3E">
        <w:rPr>
          <w:color w:val="0000FF" w:themeColor="accent1"/>
        </w:rPr>
        <w:t>Include a list of tables here</w:t>
      </w:r>
      <w:r w:rsidR="00D41864" w:rsidRPr="008A5A3E">
        <w:rPr>
          <w:color w:val="0000FF" w:themeColor="accent1"/>
        </w:rPr>
        <w:t xml:space="preserve">.  </w:t>
      </w:r>
      <w:r w:rsidRPr="008A5A3E">
        <w:rPr>
          <w:color w:val="0000FF" w:themeColor="accent1"/>
        </w:rPr>
        <w:t xml:space="preserve">Make sure to update whenever edits are made to table numbers </w:t>
      </w:r>
      <w:r w:rsidR="0083651B">
        <w:rPr>
          <w:color w:val="0000FF" w:themeColor="accent1"/>
        </w:rPr>
        <w:t xml:space="preserve">or titles </w:t>
      </w:r>
      <w:r w:rsidRPr="008A5A3E">
        <w:rPr>
          <w:color w:val="0000FF" w:themeColor="accent1"/>
        </w:rPr>
        <w:t xml:space="preserve">and before finalizing </w:t>
      </w:r>
      <w:r w:rsidR="0083651B">
        <w:rPr>
          <w:color w:val="0000FF" w:themeColor="accent1"/>
        </w:rPr>
        <w:t xml:space="preserve">the </w:t>
      </w:r>
      <w:r w:rsidRPr="008A5A3E">
        <w:rPr>
          <w:color w:val="0000FF" w:themeColor="accent1"/>
        </w:rPr>
        <w:t>document</w:t>
      </w:r>
      <w:r w:rsidR="00D41864" w:rsidRPr="008A5A3E">
        <w:rPr>
          <w:color w:val="0000FF" w:themeColor="accent1"/>
        </w:rPr>
        <w:t xml:space="preserve">.  </w:t>
      </w:r>
      <w:r w:rsidRPr="008A5A3E">
        <w:rPr>
          <w:color w:val="0000FF" w:themeColor="accent1"/>
        </w:rPr>
        <w:t>To update, right click on entry below and choose “</w:t>
      </w:r>
      <w:r w:rsidR="000E2443" w:rsidRPr="008A5A3E">
        <w:rPr>
          <w:color w:val="0000FF" w:themeColor="accent1"/>
        </w:rPr>
        <w:t>Update Field</w:t>
      </w:r>
      <w:r w:rsidRPr="008A5A3E">
        <w:rPr>
          <w:color w:val="0000FF" w:themeColor="accent1"/>
        </w:rPr>
        <w:t>” and update entire table</w:t>
      </w:r>
      <w:r w:rsidR="00D23719">
        <w:rPr>
          <w:color w:val="0000FF" w:themeColor="accent1"/>
        </w:rPr>
        <w:t>.</w:t>
      </w:r>
    </w:p>
    <w:p w14:paraId="7A2BEAFF" w14:textId="327305B1" w:rsidR="00B50860" w:rsidRDefault="00A752A5">
      <w:pPr>
        <w:pStyle w:val="TableofFigures"/>
        <w:tabs>
          <w:tab w:val="right" w:leader="dot" w:pos="9350"/>
        </w:tabs>
        <w:rPr>
          <w:rFonts w:asciiTheme="minorHAnsi" w:eastAsiaTheme="minorEastAsia" w:hAnsiTheme="minorHAnsi"/>
          <w:noProof/>
          <w:sz w:val="22"/>
          <w:szCs w:val="22"/>
        </w:rPr>
      </w:pPr>
      <w:r>
        <w:fldChar w:fldCharType="begin"/>
      </w:r>
      <w:r>
        <w:instrText xml:space="preserve"> TOC \c "Table" </w:instrText>
      </w:r>
      <w:r>
        <w:fldChar w:fldCharType="separate"/>
      </w:r>
      <w:r w:rsidR="00B50860" w:rsidRPr="008601E9">
        <w:rPr>
          <w:noProof/>
          <w:color w:val="800080" w:themeColor="accent3"/>
        </w:rPr>
        <w:t>Table 3</w:t>
      </w:r>
      <w:r w:rsidR="00B50860" w:rsidRPr="008601E9">
        <w:rPr>
          <w:noProof/>
          <w:color w:val="800080" w:themeColor="accent3"/>
        </w:rPr>
        <w:noBreakHyphen/>
        <w:t>1: Existing (2023) Traffic Conditions in the Project Area</w:t>
      </w:r>
      <w:r w:rsidR="00B50860">
        <w:rPr>
          <w:noProof/>
        </w:rPr>
        <w:tab/>
      </w:r>
      <w:r w:rsidR="00B50860">
        <w:rPr>
          <w:noProof/>
        </w:rPr>
        <w:fldChar w:fldCharType="begin"/>
      </w:r>
      <w:r w:rsidR="00B50860">
        <w:rPr>
          <w:noProof/>
        </w:rPr>
        <w:instrText xml:space="preserve"> PAGEREF _Toc157429607 \h </w:instrText>
      </w:r>
      <w:r w:rsidR="00B50860">
        <w:rPr>
          <w:noProof/>
        </w:rPr>
      </w:r>
      <w:r w:rsidR="00B50860">
        <w:rPr>
          <w:noProof/>
        </w:rPr>
        <w:fldChar w:fldCharType="separate"/>
      </w:r>
      <w:r w:rsidR="00B50860">
        <w:rPr>
          <w:noProof/>
        </w:rPr>
        <w:t>17</w:t>
      </w:r>
      <w:r w:rsidR="00B50860">
        <w:rPr>
          <w:noProof/>
        </w:rPr>
        <w:fldChar w:fldCharType="end"/>
      </w:r>
    </w:p>
    <w:p w14:paraId="01E33AF1" w14:textId="49BE5A4D"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3</w:t>
      </w:r>
      <w:r w:rsidRPr="008601E9">
        <w:rPr>
          <w:noProof/>
          <w:color w:val="800080" w:themeColor="accent3"/>
        </w:rPr>
        <w:noBreakHyphen/>
        <w:t>2: Existing (2023) Percent of Vehicles by Fuel Type in Riverside County</w:t>
      </w:r>
      <w:r>
        <w:rPr>
          <w:noProof/>
        </w:rPr>
        <w:tab/>
      </w:r>
      <w:r>
        <w:rPr>
          <w:noProof/>
        </w:rPr>
        <w:fldChar w:fldCharType="begin"/>
      </w:r>
      <w:r>
        <w:rPr>
          <w:noProof/>
        </w:rPr>
        <w:instrText xml:space="preserve"> PAGEREF _Toc157429608 \h </w:instrText>
      </w:r>
      <w:r>
        <w:rPr>
          <w:noProof/>
        </w:rPr>
      </w:r>
      <w:r>
        <w:rPr>
          <w:noProof/>
        </w:rPr>
        <w:fldChar w:fldCharType="separate"/>
      </w:r>
      <w:r>
        <w:rPr>
          <w:noProof/>
        </w:rPr>
        <w:t>18</w:t>
      </w:r>
      <w:r>
        <w:rPr>
          <w:noProof/>
        </w:rPr>
        <w:fldChar w:fldCharType="end"/>
      </w:r>
    </w:p>
    <w:p w14:paraId="0558DE3C" w14:textId="6D35A96B"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A50021" w:themeColor="accent2"/>
        </w:rPr>
        <w:t>Table 4</w:t>
      </w:r>
      <w:r w:rsidRPr="008601E9">
        <w:rPr>
          <w:noProof/>
          <w:color w:val="A50021" w:themeColor="accent2"/>
        </w:rPr>
        <w:noBreakHyphen/>
        <w:t>1: BTU Conversions by Project Energy Type</w:t>
      </w:r>
      <w:r>
        <w:rPr>
          <w:noProof/>
        </w:rPr>
        <w:tab/>
      </w:r>
      <w:r>
        <w:rPr>
          <w:noProof/>
        </w:rPr>
        <w:fldChar w:fldCharType="begin"/>
      </w:r>
      <w:r>
        <w:rPr>
          <w:noProof/>
        </w:rPr>
        <w:instrText xml:space="preserve"> PAGEREF _Toc157429609 \h </w:instrText>
      </w:r>
      <w:r>
        <w:rPr>
          <w:noProof/>
        </w:rPr>
      </w:r>
      <w:r>
        <w:rPr>
          <w:noProof/>
        </w:rPr>
        <w:fldChar w:fldCharType="separate"/>
      </w:r>
      <w:r>
        <w:rPr>
          <w:noProof/>
        </w:rPr>
        <w:t>21</w:t>
      </w:r>
      <w:r>
        <w:rPr>
          <w:noProof/>
        </w:rPr>
        <w:fldChar w:fldCharType="end"/>
      </w:r>
    </w:p>
    <w:p w14:paraId="3D525D7F" w14:textId="0391E0C6"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2: Operational Vehicle Miles Traveled by Alternative and Study Year</w:t>
      </w:r>
      <w:r>
        <w:rPr>
          <w:noProof/>
        </w:rPr>
        <w:tab/>
      </w:r>
      <w:r>
        <w:rPr>
          <w:noProof/>
        </w:rPr>
        <w:fldChar w:fldCharType="begin"/>
      </w:r>
      <w:r>
        <w:rPr>
          <w:noProof/>
        </w:rPr>
        <w:instrText xml:space="preserve"> PAGEREF _Toc157429610 \h </w:instrText>
      </w:r>
      <w:r>
        <w:rPr>
          <w:noProof/>
        </w:rPr>
      </w:r>
      <w:r>
        <w:rPr>
          <w:noProof/>
        </w:rPr>
        <w:fldChar w:fldCharType="separate"/>
      </w:r>
      <w:r>
        <w:rPr>
          <w:noProof/>
        </w:rPr>
        <w:t>24</w:t>
      </w:r>
      <w:r>
        <w:rPr>
          <w:noProof/>
        </w:rPr>
        <w:fldChar w:fldCharType="end"/>
      </w:r>
    </w:p>
    <w:p w14:paraId="1BD9965D" w14:textId="6F3CA921"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3: Annual Vehicle Fuel and Electricity Consumption by Alternative and Study Year</w:t>
      </w:r>
      <w:r>
        <w:rPr>
          <w:noProof/>
        </w:rPr>
        <w:tab/>
      </w:r>
      <w:r>
        <w:rPr>
          <w:noProof/>
        </w:rPr>
        <w:fldChar w:fldCharType="begin"/>
      </w:r>
      <w:r>
        <w:rPr>
          <w:noProof/>
        </w:rPr>
        <w:instrText xml:space="preserve"> PAGEREF _Toc157429611 \h </w:instrText>
      </w:r>
      <w:r>
        <w:rPr>
          <w:noProof/>
        </w:rPr>
      </w:r>
      <w:r>
        <w:rPr>
          <w:noProof/>
        </w:rPr>
        <w:fldChar w:fldCharType="separate"/>
      </w:r>
      <w:r>
        <w:rPr>
          <w:noProof/>
        </w:rPr>
        <w:t>25</w:t>
      </w:r>
      <w:r>
        <w:rPr>
          <w:noProof/>
        </w:rPr>
        <w:fldChar w:fldCharType="end"/>
      </w:r>
    </w:p>
    <w:p w14:paraId="056A320C" w14:textId="0D867BFF"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4: Annual Direct Energy Use by Alternative and Study Year</w:t>
      </w:r>
      <w:r>
        <w:rPr>
          <w:noProof/>
        </w:rPr>
        <w:tab/>
      </w:r>
      <w:r>
        <w:rPr>
          <w:noProof/>
        </w:rPr>
        <w:fldChar w:fldCharType="begin"/>
      </w:r>
      <w:r>
        <w:rPr>
          <w:noProof/>
        </w:rPr>
        <w:instrText xml:space="preserve"> PAGEREF _Toc157429612 \h </w:instrText>
      </w:r>
      <w:r>
        <w:rPr>
          <w:noProof/>
        </w:rPr>
      </w:r>
      <w:r>
        <w:rPr>
          <w:noProof/>
        </w:rPr>
        <w:fldChar w:fldCharType="separate"/>
      </w:r>
      <w:r>
        <w:rPr>
          <w:noProof/>
        </w:rPr>
        <w:t>25</w:t>
      </w:r>
      <w:r>
        <w:rPr>
          <w:noProof/>
        </w:rPr>
        <w:fldChar w:fldCharType="end"/>
      </w:r>
    </w:p>
    <w:p w14:paraId="560EBC0B" w14:textId="5643393E"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5: Construction Fuel and Electricity Consumption and Indirect Energy by Alternative and Year</w:t>
      </w:r>
      <w:r>
        <w:rPr>
          <w:noProof/>
        </w:rPr>
        <w:tab/>
      </w:r>
      <w:r>
        <w:rPr>
          <w:noProof/>
        </w:rPr>
        <w:fldChar w:fldCharType="begin"/>
      </w:r>
      <w:r>
        <w:rPr>
          <w:noProof/>
        </w:rPr>
        <w:instrText xml:space="preserve"> PAGEREF _Toc157429613 \h </w:instrText>
      </w:r>
      <w:r>
        <w:rPr>
          <w:noProof/>
        </w:rPr>
      </w:r>
      <w:r>
        <w:rPr>
          <w:noProof/>
        </w:rPr>
        <w:fldChar w:fldCharType="separate"/>
      </w:r>
      <w:r>
        <w:rPr>
          <w:noProof/>
        </w:rPr>
        <w:t>28</w:t>
      </w:r>
      <w:r>
        <w:rPr>
          <w:noProof/>
        </w:rPr>
        <w:fldChar w:fldCharType="end"/>
      </w:r>
    </w:p>
    <w:p w14:paraId="0E50C8FE" w14:textId="551F34E4"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6: Annual Maintenance Fuel Consumption and Indirect Energy by Alternative and Study Year</w:t>
      </w:r>
      <w:r>
        <w:rPr>
          <w:noProof/>
        </w:rPr>
        <w:tab/>
      </w:r>
      <w:r>
        <w:rPr>
          <w:noProof/>
        </w:rPr>
        <w:fldChar w:fldCharType="begin"/>
      </w:r>
      <w:r>
        <w:rPr>
          <w:noProof/>
        </w:rPr>
        <w:instrText xml:space="preserve"> PAGEREF _Toc157429614 \h </w:instrText>
      </w:r>
      <w:r>
        <w:rPr>
          <w:noProof/>
        </w:rPr>
      </w:r>
      <w:r>
        <w:rPr>
          <w:noProof/>
        </w:rPr>
        <w:fldChar w:fldCharType="separate"/>
      </w:r>
      <w:r>
        <w:rPr>
          <w:noProof/>
        </w:rPr>
        <w:t>30</w:t>
      </w:r>
      <w:r>
        <w:rPr>
          <w:noProof/>
        </w:rPr>
        <w:fldChar w:fldCharType="end"/>
      </w:r>
    </w:p>
    <w:p w14:paraId="4C3B6754" w14:textId="2C1A7D8B" w:rsidR="00B50860" w:rsidRDefault="00B50860">
      <w:pPr>
        <w:pStyle w:val="TableofFigures"/>
        <w:tabs>
          <w:tab w:val="right" w:leader="dot" w:pos="9350"/>
        </w:tabs>
        <w:rPr>
          <w:rFonts w:asciiTheme="minorHAnsi" w:eastAsiaTheme="minorEastAsia" w:hAnsiTheme="minorHAnsi"/>
          <w:noProof/>
          <w:sz w:val="22"/>
          <w:szCs w:val="22"/>
        </w:rPr>
      </w:pPr>
      <w:r w:rsidRPr="008601E9">
        <w:rPr>
          <w:noProof/>
          <w:color w:val="800080" w:themeColor="accent3"/>
        </w:rPr>
        <w:t>Table 4</w:t>
      </w:r>
      <w:r w:rsidRPr="008601E9">
        <w:rPr>
          <w:noProof/>
          <w:color w:val="800080" w:themeColor="accent3"/>
        </w:rPr>
        <w:noBreakHyphen/>
        <w:t>7: Annual Operational Electricity Consumption and Indirect Energy by Alternative and Study Year</w:t>
      </w:r>
      <w:r>
        <w:rPr>
          <w:noProof/>
        </w:rPr>
        <w:tab/>
      </w:r>
      <w:r>
        <w:rPr>
          <w:noProof/>
        </w:rPr>
        <w:fldChar w:fldCharType="begin"/>
      </w:r>
      <w:r>
        <w:rPr>
          <w:noProof/>
        </w:rPr>
        <w:instrText xml:space="preserve"> PAGEREF _Toc157429615 \h </w:instrText>
      </w:r>
      <w:r>
        <w:rPr>
          <w:noProof/>
        </w:rPr>
      </w:r>
      <w:r>
        <w:rPr>
          <w:noProof/>
        </w:rPr>
        <w:fldChar w:fldCharType="separate"/>
      </w:r>
      <w:r>
        <w:rPr>
          <w:noProof/>
        </w:rPr>
        <w:t>32</w:t>
      </w:r>
      <w:r>
        <w:rPr>
          <w:noProof/>
        </w:rPr>
        <w:fldChar w:fldCharType="end"/>
      </w:r>
    </w:p>
    <w:p w14:paraId="5FD363C7" w14:textId="1DF7DE0E" w:rsidR="00A752A5" w:rsidRDefault="00A752A5" w:rsidP="00A752A5">
      <w:pPr>
        <w:pStyle w:val="BodyText"/>
      </w:pPr>
      <w:r>
        <w:fldChar w:fldCharType="end"/>
      </w:r>
    </w:p>
    <w:p w14:paraId="4095D6F9" w14:textId="114D5C1C" w:rsidR="00F961F7" w:rsidRPr="003041D4" w:rsidRDefault="00F961F7" w:rsidP="00DA75AA">
      <w:pPr>
        <w:pStyle w:val="IntroHeading1"/>
      </w:pPr>
      <w:bookmarkStart w:id="22" w:name="_Toc150334757"/>
      <w:bookmarkStart w:id="23" w:name="_Toc157429565"/>
      <w:r w:rsidRPr="003041D4">
        <w:t>List of Figures</w:t>
      </w:r>
      <w:bookmarkEnd w:id="21"/>
      <w:bookmarkEnd w:id="22"/>
      <w:bookmarkEnd w:id="23"/>
    </w:p>
    <w:p w14:paraId="39F93E11" w14:textId="77777777" w:rsidR="0080142A" w:rsidRDefault="0080142A" w:rsidP="0080142A">
      <w:pPr>
        <w:pStyle w:val="IntroGuidanceHeading1"/>
      </w:pPr>
      <w:r>
        <w:t>GUIDANCE</w:t>
      </w:r>
    </w:p>
    <w:p w14:paraId="4EA84378" w14:textId="695DB306" w:rsidR="00AC7C29" w:rsidRPr="00AC7C29" w:rsidRDefault="00AC7C29" w:rsidP="00AC7C29">
      <w:pPr>
        <w:rPr>
          <w:color w:val="0000FF" w:themeColor="accent1"/>
        </w:rPr>
      </w:pPr>
      <w:r w:rsidRPr="00AC7C29">
        <w:rPr>
          <w:color w:val="0000FF" w:themeColor="accent1"/>
        </w:rPr>
        <w:t>Include a list of figures here</w:t>
      </w:r>
      <w:r w:rsidR="00D41864" w:rsidRPr="00AC7C29">
        <w:rPr>
          <w:color w:val="0000FF" w:themeColor="accent1"/>
        </w:rPr>
        <w:t xml:space="preserve">.  </w:t>
      </w:r>
      <w:r w:rsidRPr="00AC7C29">
        <w:rPr>
          <w:color w:val="0000FF" w:themeColor="accent1"/>
        </w:rPr>
        <w:t xml:space="preserve">Make sure to update whenever edits are made to figure numbers </w:t>
      </w:r>
      <w:r w:rsidR="0083651B">
        <w:rPr>
          <w:color w:val="0000FF" w:themeColor="accent1"/>
        </w:rPr>
        <w:t xml:space="preserve">or titles </w:t>
      </w:r>
      <w:r w:rsidRPr="00AC7C29">
        <w:rPr>
          <w:color w:val="0000FF" w:themeColor="accent1"/>
        </w:rPr>
        <w:t xml:space="preserve">and before finalizing </w:t>
      </w:r>
      <w:r w:rsidR="0083651B">
        <w:rPr>
          <w:color w:val="0000FF" w:themeColor="accent1"/>
        </w:rPr>
        <w:t xml:space="preserve">the </w:t>
      </w:r>
      <w:r w:rsidRPr="00AC7C29">
        <w:rPr>
          <w:color w:val="0000FF" w:themeColor="accent1"/>
        </w:rPr>
        <w:t>document</w:t>
      </w:r>
      <w:r w:rsidR="00D41864" w:rsidRPr="00AC7C29">
        <w:rPr>
          <w:color w:val="0000FF" w:themeColor="accent1"/>
        </w:rPr>
        <w:t xml:space="preserve">.  </w:t>
      </w:r>
      <w:r w:rsidRPr="00AC7C29">
        <w:rPr>
          <w:color w:val="0000FF" w:themeColor="accent1"/>
        </w:rPr>
        <w:t>To update, right click on entry below and choose “</w:t>
      </w:r>
      <w:r w:rsidR="000E2443" w:rsidRPr="00AC7C29">
        <w:rPr>
          <w:color w:val="0000FF" w:themeColor="accent1"/>
        </w:rPr>
        <w:t>Update Field</w:t>
      </w:r>
      <w:r w:rsidRPr="00AC7C29">
        <w:rPr>
          <w:color w:val="0000FF" w:themeColor="accent1"/>
        </w:rPr>
        <w:t>” and update entire table.</w:t>
      </w:r>
    </w:p>
    <w:p w14:paraId="4DB38893" w14:textId="38445717" w:rsidR="00867081" w:rsidRDefault="00A752A5">
      <w:pPr>
        <w:pStyle w:val="TableofFigures"/>
        <w:tabs>
          <w:tab w:val="right" w:leader="dot" w:pos="9350"/>
        </w:tabs>
        <w:rPr>
          <w:rFonts w:asciiTheme="minorHAnsi" w:eastAsiaTheme="minorEastAsia" w:hAnsiTheme="minorHAnsi"/>
          <w:noProof/>
          <w:kern w:val="2"/>
          <w14:ligatures w14:val="standardContextual"/>
        </w:rPr>
      </w:pPr>
      <w:r>
        <w:fldChar w:fldCharType="begin"/>
      </w:r>
      <w:r>
        <w:instrText xml:space="preserve"> TOC \c "Figure" </w:instrText>
      </w:r>
      <w:r>
        <w:fldChar w:fldCharType="separate"/>
      </w:r>
      <w:r w:rsidR="00867081" w:rsidRPr="00E61559">
        <w:rPr>
          <w:noProof/>
          <w:color w:val="800080" w:themeColor="accent3"/>
        </w:rPr>
        <w:t>Figure 1</w:t>
      </w:r>
      <w:r w:rsidR="00867081" w:rsidRPr="00E61559">
        <w:rPr>
          <w:noProof/>
          <w:color w:val="800080" w:themeColor="accent3"/>
        </w:rPr>
        <w:noBreakHyphen/>
        <w:t xml:space="preserve">1.  Project Vicinity </w:t>
      </w:r>
      <w:r w:rsidR="00867081">
        <w:rPr>
          <w:noProof/>
        </w:rPr>
        <w:tab/>
      </w:r>
      <w:r w:rsidR="00867081">
        <w:rPr>
          <w:noProof/>
        </w:rPr>
        <w:fldChar w:fldCharType="begin"/>
      </w:r>
      <w:r w:rsidR="00867081">
        <w:rPr>
          <w:noProof/>
        </w:rPr>
        <w:instrText xml:space="preserve"> PAGEREF _Toc155852747 \h </w:instrText>
      </w:r>
      <w:r w:rsidR="00867081">
        <w:rPr>
          <w:noProof/>
        </w:rPr>
      </w:r>
      <w:r w:rsidR="00867081">
        <w:rPr>
          <w:noProof/>
        </w:rPr>
        <w:fldChar w:fldCharType="separate"/>
      </w:r>
      <w:r w:rsidR="000C5395">
        <w:rPr>
          <w:noProof/>
        </w:rPr>
        <w:t>1</w:t>
      </w:r>
      <w:r w:rsidR="00867081">
        <w:rPr>
          <w:noProof/>
        </w:rPr>
        <w:fldChar w:fldCharType="end"/>
      </w:r>
    </w:p>
    <w:p w14:paraId="7B8B535A" w14:textId="67D78790" w:rsidR="00867081" w:rsidRDefault="00867081">
      <w:pPr>
        <w:pStyle w:val="TableofFigures"/>
        <w:tabs>
          <w:tab w:val="right" w:leader="dot" w:pos="9350"/>
        </w:tabs>
        <w:rPr>
          <w:rFonts w:asciiTheme="minorHAnsi" w:eastAsiaTheme="minorEastAsia" w:hAnsiTheme="minorHAnsi"/>
          <w:noProof/>
          <w:kern w:val="2"/>
          <w14:ligatures w14:val="standardContextual"/>
        </w:rPr>
      </w:pPr>
      <w:r w:rsidRPr="00E61559">
        <w:rPr>
          <w:noProof/>
          <w:color w:val="800080" w:themeColor="accent3"/>
        </w:rPr>
        <w:t>Figure 1</w:t>
      </w:r>
      <w:r w:rsidRPr="00E61559">
        <w:rPr>
          <w:noProof/>
          <w:color w:val="800080" w:themeColor="accent3"/>
        </w:rPr>
        <w:noBreakHyphen/>
        <w:t xml:space="preserve">2.  Project Location </w:t>
      </w:r>
      <w:r>
        <w:rPr>
          <w:noProof/>
        </w:rPr>
        <w:tab/>
      </w:r>
      <w:r>
        <w:rPr>
          <w:noProof/>
        </w:rPr>
        <w:fldChar w:fldCharType="begin"/>
      </w:r>
      <w:r>
        <w:rPr>
          <w:noProof/>
        </w:rPr>
        <w:instrText xml:space="preserve"> PAGEREF _Toc155852748 \h </w:instrText>
      </w:r>
      <w:r>
        <w:rPr>
          <w:noProof/>
        </w:rPr>
      </w:r>
      <w:r>
        <w:rPr>
          <w:noProof/>
        </w:rPr>
        <w:fldChar w:fldCharType="separate"/>
      </w:r>
      <w:r w:rsidR="000C5395">
        <w:rPr>
          <w:noProof/>
        </w:rPr>
        <w:t>1</w:t>
      </w:r>
      <w:r>
        <w:rPr>
          <w:noProof/>
        </w:rPr>
        <w:fldChar w:fldCharType="end"/>
      </w:r>
    </w:p>
    <w:p w14:paraId="2B09AFBD" w14:textId="78727DC9" w:rsidR="00867081" w:rsidRDefault="00867081">
      <w:pPr>
        <w:pStyle w:val="TableofFigures"/>
        <w:tabs>
          <w:tab w:val="right" w:leader="dot" w:pos="9350"/>
        </w:tabs>
        <w:rPr>
          <w:rFonts w:asciiTheme="minorHAnsi" w:eastAsiaTheme="minorEastAsia" w:hAnsiTheme="minorHAnsi"/>
          <w:noProof/>
          <w:kern w:val="2"/>
          <w14:ligatures w14:val="standardContextual"/>
        </w:rPr>
      </w:pPr>
      <w:r w:rsidRPr="00E61559">
        <w:rPr>
          <w:noProof/>
          <w:color w:val="800080" w:themeColor="accent3"/>
        </w:rPr>
        <w:t>Figure 3</w:t>
      </w:r>
      <w:r w:rsidRPr="00E61559">
        <w:rPr>
          <w:noProof/>
          <w:color w:val="800080" w:themeColor="accent3"/>
        </w:rPr>
        <w:noBreakHyphen/>
        <w:t>1.  Installed In-State Electric Generation Capacity by Fuel Type</w:t>
      </w:r>
      <w:r>
        <w:rPr>
          <w:noProof/>
        </w:rPr>
        <w:tab/>
      </w:r>
      <w:r>
        <w:rPr>
          <w:noProof/>
        </w:rPr>
        <w:fldChar w:fldCharType="begin"/>
      </w:r>
      <w:r>
        <w:rPr>
          <w:noProof/>
        </w:rPr>
        <w:instrText xml:space="preserve"> PAGEREF _Toc155852749 \h </w:instrText>
      </w:r>
      <w:r>
        <w:rPr>
          <w:noProof/>
        </w:rPr>
      </w:r>
      <w:r>
        <w:rPr>
          <w:noProof/>
        </w:rPr>
        <w:fldChar w:fldCharType="separate"/>
      </w:r>
      <w:r w:rsidR="000C5395">
        <w:rPr>
          <w:noProof/>
        </w:rPr>
        <w:t>12</w:t>
      </w:r>
      <w:r>
        <w:rPr>
          <w:noProof/>
        </w:rPr>
        <w:fldChar w:fldCharType="end"/>
      </w:r>
    </w:p>
    <w:p w14:paraId="2DA7ABDF" w14:textId="3B44A75B" w:rsidR="00867081" w:rsidRDefault="00867081">
      <w:pPr>
        <w:pStyle w:val="TableofFigures"/>
        <w:tabs>
          <w:tab w:val="right" w:leader="dot" w:pos="9350"/>
        </w:tabs>
        <w:rPr>
          <w:rFonts w:asciiTheme="minorHAnsi" w:eastAsiaTheme="minorEastAsia" w:hAnsiTheme="minorHAnsi"/>
          <w:noProof/>
          <w:kern w:val="2"/>
          <w14:ligatures w14:val="standardContextual"/>
        </w:rPr>
      </w:pPr>
      <w:r w:rsidRPr="00E61559">
        <w:rPr>
          <w:noProof/>
          <w:color w:val="800080" w:themeColor="accent3"/>
        </w:rPr>
        <w:t>Figure 3</w:t>
      </w:r>
      <w:r w:rsidRPr="00E61559">
        <w:rPr>
          <w:noProof/>
          <w:color w:val="800080" w:themeColor="accent3"/>
        </w:rPr>
        <w:noBreakHyphen/>
        <w:t>2.  Light-Duty Vehicle Population in California by Fuel Type</w:t>
      </w:r>
      <w:r>
        <w:rPr>
          <w:noProof/>
        </w:rPr>
        <w:tab/>
      </w:r>
      <w:r>
        <w:rPr>
          <w:noProof/>
        </w:rPr>
        <w:fldChar w:fldCharType="begin"/>
      </w:r>
      <w:r>
        <w:rPr>
          <w:noProof/>
        </w:rPr>
        <w:instrText xml:space="preserve"> PAGEREF _Toc155852750 \h </w:instrText>
      </w:r>
      <w:r>
        <w:rPr>
          <w:noProof/>
        </w:rPr>
      </w:r>
      <w:r>
        <w:rPr>
          <w:noProof/>
        </w:rPr>
        <w:fldChar w:fldCharType="separate"/>
      </w:r>
      <w:r w:rsidR="000C5395">
        <w:rPr>
          <w:noProof/>
        </w:rPr>
        <w:t>13</w:t>
      </w:r>
      <w:r>
        <w:rPr>
          <w:noProof/>
        </w:rPr>
        <w:fldChar w:fldCharType="end"/>
      </w:r>
    </w:p>
    <w:p w14:paraId="1479450F" w14:textId="304C380D" w:rsidR="00867081" w:rsidRDefault="00867081">
      <w:pPr>
        <w:pStyle w:val="TableofFigures"/>
        <w:tabs>
          <w:tab w:val="right" w:leader="dot" w:pos="9350"/>
        </w:tabs>
        <w:rPr>
          <w:rFonts w:asciiTheme="minorHAnsi" w:eastAsiaTheme="minorEastAsia" w:hAnsiTheme="minorHAnsi"/>
          <w:noProof/>
          <w:kern w:val="2"/>
          <w14:ligatures w14:val="standardContextual"/>
        </w:rPr>
      </w:pPr>
      <w:r w:rsidRPr="00E61559">
        <w:rPr>
          <w:noProof/>
          <w:color w:val="800080" w:themeColor="accent3"/>
        </w:rPr>
        <w:t>Figure 3</w:t>
      </w:r>
      <w:r w:rsidRPr="00E61559">
        <w:rPr>
          <w:noProof/>
          <w:color w:val="800080" w:themeColor="accent3"/>
        </w:rPr>
        <w:noBreakHyphen/>
        <w:t>3.  Displacement of Petroleum Diesel in California</w:t>
      </w:r>
      <w:r>
        <w:rPr>
          <w:noProof/>
        </w:rPr>
        <w:tab/>
      </w:r>
      <w:r>
        <w:rPr>
          <w:noProof/>
        </w:rPr>
        <w:fldChar w:fldCharType="begin"/>
      </w:r>
      <w:r>
        <w:rPr>
          <w:noProof/>
        </w:rPr>
        <w:instrText xml:space="preserve"> PAGEREF _Toc155852751 \h </w:instrText>
      </w:r>
      <w:r>
        <w:rPr>
          <w:noProof/>
        </w:rPr>
      </w:r>
      <w:r>
        <w:rPr>
          <w:noProof/>
        </w:rPr>
        <w:fldChar w:fldCharType="separate"/>
      </w:r>
      <w:r w:rsidR="000C5395">
        <w:rPr>
          <w:noProof/>
        </w:rPr>
        <w:t>14</w:t>
      </w:r>
      <w:r>
        <w:rPr>
          <w:noProof/>
        </w:rPr>
        <w:fldChar w:fldCharType="end"/>
      </w:r>
    </w:p>
    <w:p w14:paraId="165060BD" w14:textId="0B5B0906" w:rsidR="00571D2E" w:rsidRPr="00571D2E" w:rsidRDefault="00A752A5" w:rsidP="004244CB">
      <w:r>
        <w:fldChar w:fldCharType="end"/>
      </w:r>
    </w:p>
    <w:p w14:paraId="4830BFB7" w14:textId="77777777" w:rsidR="00007774" w:rsidRDefault="00007774">
      <w:pPr>
        <w:rPr>
          <w:rFonts w:ascii="Arial Bold" w:eastAsiaTheme="majorEastAsia" w:hAnsi="Arial Bold" w:cstheme="majorBidi"/>
          <w:b/>
          <w:bCs/>
          <w:sz w:val="36"/>
          <w:szCs w:val="36"/>
        </w:rPr>
      </w:pPr>
      <w:r>
        <w:br w:type="page"/>
      </w:r>
    </w:p>
    <w:p w14:paraId="0D7C5FB3" w14:textId="4F1A8A19" w:rsidR="00F46A95" w:rsidRPr="003041D4" w:rsidRDefault="00F46A95" w:rsidP="00F46A95">
      <w:pPr>
        <w:pStyle w:val="IntroHeading1"/>
      </w:pPr>
      <w:bookmarkStart w:id="24" w:name="_Toc150334758"/>
      <w:bookmarkStart w:id="25" w:name="_Toc157429566"/>
      <w:r w:rsidRPr="003041D4">
        <w:lastRenderedPageBreak/>
        <w:t xml:space="preserve">List of </w:t>
      </w:r>
      <w:r>
        <w:t>Acronyms</w:t>
      </w:r>
      <w:bookmarkEnd w:id="24"/>
      <w:bookmarkEnd w:id="25"/>
      <w:r>
        <w:t xml:space="preserve"> </w:t>
      </w:r>
    </w:p>
    <w:p w14:paraId="244D04E3" w14:textId="77777777" w:rsidR="009252DF" w:rsidRDefault="009252DF" w:rsidP="009252DF">
      <w:pPr>
        <w:pStyle w:val="IntroGuidanceHeading1"/>
      </w:pPr>
      <w:r>
        <w:t>GUIDANCE</w:t>
      </w:r>
    </w:p>
    <w:p w14:paraId="43DC216B" w14:textId="0A9772F9" w:rsidR="009252DF" w:rsidRPr="00D23719" w:rsidRDefault="003765BE" w:rsidP="009252DF">
      <w:pPr>
        <w:rPr>
          <w:color w:val="0000FF" w:themeColor="accent1"/>
        </w:rPr>
      </w:pPr>
      <w:r w:rsidRPr="00AC7C29">
        <w:rPr>
          <w:color w:val="0000FF" w:themeColor="accent1"/>
        </w:rPr>
        <w:t xml:space="preserve">Include a list of </w:t>
      </w:r>
      <w:r>
        <w:rPr>
          <w:color w:val="0000FF" w:themeColor="accent1"/>
        </w:rPr>
        <w:t xml:space="preserve">acronyms here.  </w:t>
      </w:r>
      <w:r w:rsidR="00A64971" w:rsidRPr="00A24501">
        <w:rPr>
          <w:color w:val="0000FF" w:themeColor="accent1"/>
        </w:rPr>
        <w:t>A</w:t>
      </w:r>
      <w:r w:rsidRPr="00A24501">
        <w:rPr>
          <w:color w:val="0000FF" w:themeColor="accent1"/>
        </w:rPr>
        <w:t>cronym</w:t>
      </w:r>
      <w:r w:rsidR="00A64971" w:rsidRPr="00A24501">
        <w:rPr>
          <w:color w:val="0000FF" w:themeColor="accent1"/>
        </w:rPr>
        <w:t>s</w:t>
      </w:r>
      <w:r w:rsidRPr="00A24501">
        <w:rPr>
          <w:color w:val="0000FF" w:themeColor="accent1"/>
        </w:rPr>
        <w:t xml:space="preserve"> </w:t>
      </w:r>
      <w:r w:rsidR="00A64971">
        <w:rPr>
          <w:color w:val="0000FF" w:themeColor="accent1"/>
        </w:rPr>
        <w:t xml:space="preserve">should only be used </w:t>
      </w:r>
      <w:r>
        <w:rPr>
          <w:color w:val="0000FF" w:themeColor="accent1"/>
        </w:rPr>
        <w:t xml:space="preserve">if </w:t>
      </w:r>
      <w:r w:rsidR="00A64971">
        <w:rPr>
          <w:color w:val="0000FF" w:themeColor="accent1"/>
        </w:rPr>
        <w:t xml:space="preserve">they appear </w:t>
      </w:r>
      <w:r>
        <w:rPr>
          <w:color w:val="0000FF" w:themeColor="accent1"/>
        </w:rPr>
        <w:t>more than once in the EAR</w:t>
      </w:r>
      <w:r w:rsidR="00D41864">
        <w:rPr>
          <w:color w:val="0000FF" w:themeColor="accent1"/>
        </w:rPr>
        <w:t xml:space="preserve">.  </w:t>
      </w:r>
      <w:r w:rsidR="009916C3" w:rsidRPr="009916C3">
        <w:rPr>
          <w:color w:val="0000FF" w:themeColor="accent1"/>
        </w:rPr>
        <w:t xml:space="preserve">The acronyms listed below are used </w:t>
      </w:r>
      <w:r>
        <w:rPr>
          <w:color w:val="0000FF" w:themeColor="accent1"/>
        </w:rPr>
        <w:t>in the boilerplate text</w:t>
      </w:r>
      <w:r w:rsidR="009916C3" w:rsidRPr="009916C3">
        <w:rPr>
          <w:color w:val="0000FF" w:themeColor="accent1"/>
        </w:rPr>
        <w:t>.  Please update this list to include</w:t>
      </w:r>
      <w:r>
        <w:rPr>
          <w:color w:val="0000FF" w:themeColor="accent1"/>
        </w:rPr>
        <w:t xml:space="preserve"> additional</w:t>
      </w:r>
      <w:r w:rsidR="009916C3" w:rsidRPr="009916C3">
        <w:rPr>
          <w:color w:val="0000FF" w:themeColor="accent1"/>
        </w:rPr>
        <w:t xml:space="preserve"> acronyms used in your document</w:t>
      </w:r>
      <w:r w:rsidR="009252DF">
        <w:rPr>
          <w:color w:val="0000FF" w:themeColor="accent1"/>
        </w:rPr>
        <w:t>.</w:t>
      </w:r>
    </w:p>
    <w:p w14:paraId="34D96585" w14:textId="7ADCA1F4" w:rsidR="003765BE" w:rsidRDefault="003765BE" w:rsidP="00007774">
      <w:pPr>
        <w:tabs>
          <w:tab w:val="left" w:pos="2880"/>
        </w:tabs>
        <w:spacing w:after="60"/>
        <w:rPr>
          <w:color w:val="A50021" w:themeColor="accent2"/>
        </w:rPr>
      </w:pPr>
      <w:bookmarkStart w:id="26" w:name="_Hlk151379228"/>
      <w:r w:rsidRPr="003765BE">
        <w:rPr>
          <w:color w:val="A50021" w:themeColor="accent2"/>
        </w:rPr>
        <w:t>AB</w:t>
      </w:r>
      <w:r w:rsidRPr="003765BE">
        <w:rPr>
          <w:color w:val="A50021" w:themeColor="accent2"/>
        </w:rPr>
        <w:tab/>
        <w:t>Assembly Bill</w:t>
      </w:r>
    </w:p>
    <w:p w14:paraId="131862FB" w14:textId="7D3E0A3E" w:rsidR="003765BE" w:rsidRPr="003765BE" w:rsidRDefault="003765BE" w:rsidP="00007774">
      <w:pPr>
        <w:tabs>
          <w:tab w:val="left" w:pos="2880"/>
        </w:tabs>
        <w:spacing w:after="60"/>
        <w:rPr>
          <w:color w:val="A50021" w:themeColor="accent2"/>
        </w:rPr>
      </w:pPr>
      <w:r w:rsidRPr="003765BE">
        <w:rPr>
          <w:color w:val="A50021" w:themeColor="accent2"/>
        </w:rPr>
        <w:t xml:space="preserve">BTU </w:t>
      </w:r>
      <w:r w:rsidRPr="003765BE">
        <w:rPr>
          <w:color w:val="A50021" w:themeColor="accent2"/>
        </w:rPr>
        <w:tab/>
        <w:t>British thermal units</w:t>
      </w:r>
    </w:p>
    <w:p w14:paraId="400A1D5D" w14:textId="1C3680DA" w:rsidR="003765BE" w:rsidRPr="003765BE" w:rsidRDefault="003765BE" w:rsidP="00007774">
      <w:pPr>
        <w:tabs>
          <w:tab w:val="left" w:pos="2880"/>
        </w:tabs>
        <w:spacing w:after="60"/>
        <w:rPr>
          <w:color w:val="A50021" w:themeColor="accent2"/>
        </w:rPr>
      </w:pPr>
      <w:r w:rsidRPr="003765BE">
        <w:rPr>
          <w:color w:val="A50021" w:themeColor="accent2"/>
        </w:rPr>
        <w:t xml:space="preserve">CARB </w:t>
      </w:r>
      <w:r w:rsidRPr="003765BE">
        <w:rPr>
          <w:color w:val="A50021" w:themeColor="accent2"/>
        </w:rPr>
        <w:tab/>
        <w:t>California Air Resources Board</w:t>
      </w:r>
    </w:p>
    <w:p w14:paraId="5F154B21" w14:textId="71F9DC6C" w:rsidR="003765BE" w:rsidRPr="003765BE" w:rsidRDefault="003765BE" w:rsidP="00007774">
      <w:pPr>
        <w:tabs>
          <w:tab w:val="left" w:pos="2880"/>
        </w:tabs>
        <w:spacing w:after="60"/>
        <w:rPr>
          <w:color w:val="A50021" w:themeColor="accent2"/>
        </w:rPr>
      </w:pPr>
      <w:r w:rsidRPr="003765BE">
        <w:rPr>
          <w:color w:val="A50021" w:themeColor="accent2"/>
        </w:rPr>
        <w:t>CEC</w:t>
      </w:r>
      <w:r w:rsidRPr="003765BE">
        <w:rPr>
          <w:color w:val="A50021" w:themeColor="accent2"/>
        </w:rPr>
        <w:tab/>
        <w:t>California Energy Commission</w:t>
      </w:r>
    </w:p>
    <w:p w14:paraId="4EF022BB" w14:textId="198A020A" w:rsidR="003765BE" w:rsidRDefault="003765BE" w:rsidP="00007774">
      <w:pPr>
        <w:tabs>
          <w:tab w:val="left" w:pos="2880"/>
        </w:tabs>
        <w:spacing w:after="60"/>
        <w:rPr>
          <w:color w:val="A50021" w:themeColor="accent2"/>
        </w:rPr>
      </w:pPr>
      <w:r w:rsidRPr="003765BE">
        <w:rPr>
          <w:color w:val="A50021" w:themeColor="accent2"/>
        </w:rPr>
        <w:t xml:space="preserve">CEQA </w:t>
      </w:r>
      <w:r w:rsidRPr="003765BE">
        <w:rPr>
          <w:color w:val="A50021" w:themeColor="accent2"/>
        </w:rPr>
        <w:tab/>
        <w:t>California Environmental Quality Act</w:t>
      </w:r>
    </w:p>
    <w:p w14:paraId="5142EB1E" w14:textId="37929C37" w:rsidR="003D1CE7" w:rsidRPr="003765BE" w:rsidRDefault="003D1CE7" w:rsidP="00007774">
      <w:pPr>
        <w:tabs>
          <w:tab w:val="left" w:pos="2880"/>
        </w:tabs>
        <w:spacing w:after="60"/>
        <w:rPr>
          <w:color w:val="A50021" w:themeColor="accent2"/>
        </w:rPr>
      </w:pPr>
      <w:r>
        <w:rPr>
          <w:color w:val="A50021" w:themeColor="accent2"/>
        </w:rPr>
        <w:t>DEG</w:t>
      </w:r>
      <w:r>
        <w:rPr>
          <w:color w:val="A50021" w:themeColor="accent2"/>
        </w:rPr>
        <w:tab/>
      </w:r>
      <w:r w:rsidRPr="002269E1">
        <w:rPr>
          <w:color w:val="A50021" w:themeColor="accent2"/>
        </w:rPr>
        <w:t>diesel equivalent gallon</w:t>
      </w:r>
    </w:p>
    <w:p w14:paraId="44BAEDB0" w14:textId="77777777" w:rsidR="00D30325" w:rsidRPr="003765BE" w:rsidRDefault="00D30325" w:rsidP="00D30325">
      <w:pPr>
        <w:tabs>
          <w:tab w:val="left" w:pos="2880"/>
        </w:tabs>
        <w:spacing w:after="60"/>
        <w:rPr>
          <w:color w:val="A50021" w:themeColor="accent2"/>
        </w:rPr>
      </w:pPr>
      <w:r w:rsidRPr="003765BE">
        <w:rPr>
          <w:color w:val="A50021" w:themeColor="accent2"/>
        </w:rPr>
        <w:t xml:space="preserve">EIA </w:t>
      </w:r>
      <w:r w:rsidRPr="003765BE">
        <w:rPr>
          <w:color w:val="A50021" w:themeColor="accent2"/>
        </w:rPr>
        <w:tab/>
        <w:t>United States Energy Information Administration</w:t>
      </w:r>
    </w:p>
    <w:p w14:paraId="474F6594" w14:textId="6223BED8" w:rsidR="00DE0D54" w:rsidRDefault="00DE0D54" w:rsidP="00007774">
      <w:pPr>
        <w:tabs>
          <w:tab w:val="left" w:pos="2880"/>
        </w:tabs>
        <w:spacing w:after="60"/>
        <w:rPr>
          <w:color w:val="A50021" w:themeColor="accent2"/>
        </w:rPr>
      </w:pPr>
      <w:r>
        <w:rPr>
          <w:color w:val="A50021" w:themeColor="accent2"/>
        </w:rPr>
        <w:t>EAR</w:t>
      </w:r>
      <w:r>
        <w:rPr>
          <w:color w:val="A50021" w:themeColor="accent2"/>
        </w:rPr>
        <w:tab/>
        <w:t>Energy Analysis Report</w:t>
      </w:r>
    </w:p>
    <w:p w14:paraId="6227026C" w14:textId="3F833AC3" w:rsidR="003765BE" w:rsidRPr="003765BE" w:rsidRDefault="003765BE" w:rsidP="00007774">
      <w:pPr>
        <w:tabs>
          <w:tab w:val="left" w:pos="2880"/>
        </w:tabs>
        <w:spacing w:after="60"/>
        <w:rPr>
          <w:color w:val="A50021" w:themeColor="accent2"/>
        </w:rPr>
      </w:pPr>
      <w:r w:rsidRPr="003765BE">
        <w:rPr>
          <w:color w:val="A50021" w:themeColor="accent2"/>
        </w:rPr>
        <w:t xml:space="preserve">FHWA </w:t>
      </w:r>
      <w:r w:rsidRPr="003765BE">
        <w:rPr>
          <w:color w:val="A50021" w:themeColor="accent2"/>
        </w:rPr>
        <w:tab/>
        <w:t>Federal Highway Administration</w:t>
      </w:r>
    </w:p>
    <w:p w14:paraId="0D94D07D" w14:textId="544B58E8" w:rsidR="003765BE" w:rsidRPr="003765BE" w:rsidRDefault="003765BE" w:rsidP="00007774">
      <w:pPr>
        <w:tabs>
          <w:tab w:val="left" w:pos="2880"/>
        </w:tabs>
        <w:spacing w:after="60"/>
        <w:rPr>
          <w:color w:val="A50021" w:themeColor="accent2"/>
        </w:rPr>
      </w:pPr>
      <w:r w:rsidRPr="003765BE">
        <w:rPr>
          <w:color w:val="A50021" w:themeColor="accent2"/>
        </w:rPr>
        <w:t xml:space="preserve">GHG </w:t>
      </w:r>
      <w:r w:rsidRPr="003765BE">
        <w:rPr>
          <w:color w:val="A50021" w:themeColor="accent2"/>
        </w:rPr>
        <w:tab/>
        <w:t>greenhouse gas</w:t>
      </w:r>
    </w:p>
    <w:p w14:paraId="210F0A6D" w14:textId="731C881C" w:rsidR="003765BE" w:rsidRPr="003765BE" w:rsidRDefault="003765BE" w:rsidP="00007774">
      <w:pPr>
        <w:tabs>
          <w:tab w:val="left" w:pos="2880"/>
        </w:tabs>
        <w:spacing w:after="60"/>
        <w:rPr>
          <w:color w:val="A50021" w:themeColor="accent2"/>
        </w:rPr>
      </w:pPr>
      <w:proofErr w:type="spellStart"/>
      <w:r w:rsidRPr="003765BE">
        <w:rPr>
          <w:color w:val="A50021" w:themeColor="accent2"/>
        </w:rPr>
        <w:t>IEPR</w:t>
      </w:r>
      <w:proofErr w:type="spellEnd"/>
      <w:r w:rsidRPr="003765BE">
        <w:rPr>
          <w:color w:val="A50021" w:themeColor="accent2"/>
        </w:rPr>
        <w:t xml:space="preserve"> </w:t>
      </w:r>
      <w:r w:rsidRPr="003765BE">
        <w:rPr>
          <w:color w:val="A50021" w:themeColor="accent2"/>
        </w:rPr>
        <w:tab/>
      </w:r>
      <w:r w:rsidR="00D30325">
        <w:rPr>
          <w:color w:val="A50021" w:themeColor="accent2"/>
        </w:rPr>
        <w:t>I</w:t>
      </w:r>
      <w:r w:rsidRPr="003765BE">
        <w:rPr>
          <w:color w:val="A50021" w:themeColor="accent2"/>
        </w:rPr>
        <w:t xml:space="preserve">ntegrated </w:t>
      </w:r>
      <w:r w:rsidR="00D30325">
        <w:rPr>
          <w:color w:val="A50021" w:themeColor="accent2"/>
        </w:rPr>
        <w:t>E</w:t>
      </w:r>
      <w:r w:rsidRPr="003765BE">
        <w:rPr>
          <w:color w:val="A50021" w:themeColor="accent2"/>
        </w:rPr>
        <w:t xml:space="preserve">nergy </w:t>
      </w:r>
      <w:r w:rsidR="00D30325">
        <w:rPr>
          <w:color w:val="A50021" w:themeColor="accent2"/>
        </w:rPr>
        <w:t>P</w:t>
      </w:r>
      <w:r w:rsidRPr="003765BE">
        <w:rPr>
          <w:color w:val="A50021" w:themeColor="accent2"/>
        </w:rPr>
        <w:t xml:space="preserve">olicy </w:t>
      </w:r>
      <w:r w:rsidR="00D30325">
        <w:rPr>
          <w:color w:val="A50021" w:themeColor="accent2"/>
        </w:rPr>
        <w:t>R</w:t>
      </w:r>
      <w:r w:rsidRPr="003765BE">
        <w:rPr>
          <w:color w:val="A50021" w:themeColor="accent2"/>
        </w:rPr>
        <w:t>eport</w:t>
      </w:r>
    </w:p>
    <w:p w14:paraId="590FC838" w14:textId="057EA317" w:rsidR="003765BE" w:rsidRPr="003765BE" w:rsidRDefault="003765BE" w:rsidP="00007774">
      <w:pPr>
        <w:tabs>
          <w:tab w:val="left" w:pos="2880"/>
        </w:tabs>
        <w:spacing w:after="60"/>
        <w:rPr>
          <w:color w:val="A50021" w:themeColor="accent2"/>
        </w:rPr>
      </w:pPr>
      <w:r w:rsidRPr="003765BE">
        <w:rPr>
          <w:color w:val="A50021" w:themeColor="accent2"/>
        </w:rPr>
        <w:t xml:space="preserve">In-Use Regulation </w:t>
      </w:r>
      <w:r w:rsidRPr="003765BE">
        <w:rPr>
          <w:color w:val="A50021" w:themeColor="accent2"/>
        </w:rPr>
        <w:tab/>
        <w:t>In-Use Off-Road Diesel-Fueled Fleets Regulation</w:t>
      </w:r>
    </w:p>
    <w:p w14:paraId="4D80F744" w14:textId="66436320" w:rsidR="003765BE" w:rsidRPr="003765BE" w:rsidRDefault="003765BE" w:rsidP="00007774">
      <w:pPr>
        <w:tabs>
          <w:tab w:val="left" w:pos="2880"/>
        </w:tabs>
        <w:spacing w:after="60"/>
        <w:rPr>
          <w:color w:val="A50021" w:themeColor="accent2"/>
        </w:rPr>
      </w:pPr>
      <w:r w:rsidRPr="003765BE">
        <w:rPr>
          <w:color w:val="A50021" w:themeColor="accent2"/>
        </w:rPr>
        <w:t xml:space="preserve">kWh </w:t>
      </w:r>
      <w:r w:rsidRPr="003765BE">
        <w:rPr>
          <w:color w:val="A50021" w:themeColor="accent2"/>
        </w:rPr>
        <w:tab/>
        <w:t>kilowatt-hours</w:t>
      </w:r>
    </w:p>
    <w:p w14:paraId="679ACD42" w14:textId="423E9E30" w:rsidR="003765BE" w:rsidRPr="003765BE" w:rsidRDefault="003765BE" w:rsidP="00007774">
      <w:pPr>
        <w:tabs>
          <w:tab w:val="left" w:pos="2880"/>
        </w:tabs>
        <w:spacing w:after="60"/>
        <w:rPr>
          <w:color w:val="A50021" w:themeColor="accent2"/>
        </w:rPr>
      </w:pPr>
      <w:r w:rsidRPr="003765BE">
        <w:rPr>
          <w:color w:val="A50021" w:themeColor="accent2"/>
        </w:rPr>
        <w:t xml:space="preserve">LCFS </w:t>
      </w:r>
      <w:r w:rsidRPr="003765BE">
        <w:rPr>
          <w:color w:val="A50021" w:themeColor="accent2"/>
        </w:rPr>
        <w:tab/>
        <w:t>Low Carbon Fuel Standard</w:t>
      </w:r>
    </w:p>
    <w:p w14:paraId="6A3AE0BF" w14:textId="0A9DC4CC" w:rsidR="003765BE" w:rsidRPr="003765BE" w:rsidRDefault="003765BE" w:rsidP="00007774">
      <w:pPr>
        <w:tabs>
          <w:tab w:val="left" w:pos="2880"/>
        </w:tabs>
        <w:spacing w:after="60"/>
        <w:rPr>
          <w:color w:val="A50021" w:themeColor="accent2"/>
        </w:rPr>
      </w:pPr>
      <w:r w:rsidRPr="003765BE">
        <w:rPr>
          <w:color w:val="A50021" w:themeColor="accent2"/>
        </w:rPr>
        <w:t xml:space="preserve">NEPA </w:t>
      </w:r>
      <w:r w:rsidRPr="003765BE">
        <w:rPr>
          <w:color w:val="A50021" w:themeColor="accent2"/>
        </w:rPr>
        <w:tab/>
        <w:t>National Environmental Policy Act</w:t>
      </w:r>
    </w:p>
    <w:p w14:paraId="6FCCF433" w14:textId="61937696" w:rsidR="003765BE" w:rsidRPr="003765BE" w:rsidRDefault="003765BE" w:rsidP="00007774">
      <w:pPr>
        <w:tabs>
          <w:tab w:val="left" w:pos="2880"/>
        </w:tabs>
        <w:spacing w:after="60"/>
        <w:rPr>
          <w:color w:val="A50021" w:themeColor="accent2"/>
        </w:rPr>
      </w:pPr>
      <w:r w:rsidRPr="003765BE">
        <w:rPr>
          <w:color w:val="A50021" w:themeColor="accent2"/>
        </w:rPr>
        <w:t xml:space="preserve">NHTSA </w:t>
      </w:r>
      <w:r w:rsidRPr="003765BE">
        <w:rPr>
          <w:color w:val="A50021" w:themeColor="accent2"/>
        </w:rPr>
        <w:tab/>
        <w:t>National Highway Traffic Safety Administration</w:t>
      </w:r>
    </w:p>
    <w:p w14:paraId="24C12930" w14:textId="5F5ABCA7" w:rsidR="003765BE" w:rsidRPr="003765BE" w:rsidRDefault="003765BE" w:rsidP="00007774">
      <w:pPr>
        <w:tabs>
          <w:tab w:val="left" w:pos="2880"/>
        </w:tabs>
        <w:spacing w:after="60"/>
        <w:rPr>
          <w:color w:val="A50021" w:themeColor="accent2"/>
        </w:rPr>
      </w:pPr>
      <w:r w:rsidRPr="003765BE">
        <w:rPr>
          <w:color w:val="A50021" w:themeColor="accent2"/>
        </w:rPr>
        <w:t xml:space="preserve">RPS </w:t>
      </w:r>
      <w:r w:rsidRPr="003765BE">
        <w:rPr>
          <w:color w:val="A50021" w:themeColor="accent2"/>
        </w:rPr>
        <w:tab/>
        <w:t>Renewables Portfolio Standard</w:t>
      </w:r>
    </w:p>
    <w:p w14:paraId="2155D634" w14:textId="7AEE234C" w:rsidR="003765BE" w:rsidRPr="00885DCB" w:rsidRDefault="003765BE" w:rsidP="00007774">
      <w:pPr>
        <w:tabs>
          <w:tab w:val="left" w:pos="2880"/>
        </w:tabs>
        <w:spacing w:after="60"/>
        <w:rPr>
          <w:color w:val="A50021" w:themeColor="accent2"/>
        </w:rPr>
      </w:pPr>
      <w:r w:rsidRPr="003765BE">
        <w:rPr>
          <w:color w:val="A50021" w:themeColor="accent2"/>
        </w:rPr>
        <w:t xml:space="preserve">RTP </w:t>
      </w:r>
      <w:r w:rsidRPr="003765BE">
        <w:rPr>
          <w:color w:val="A50021" w:themeColor="accent2"/>
        </w:rPr>
        <w:tab/>
      </w:r>
      <w:r w:rsidRPr="00885DCB">
        <w:rPr>
          <w:color w:val="A50021" w:themeColor="accent2"/>
        </w:rPr>
        <w:t>regional transportation plan</w:t>
      </w:r>
    </w:p>
    <w:p w14:paraId="75075278" w14:textId="2FC1437F" w:rsidR="003765BE" w:rsidRPr="00885DCB" w:rsidRDefault="003765BE" w:rsidP="00007774">
      <w:pPr>
        <w:tabs>
          <w:tab w:val="left" w:pos="2880"/>
        </w:tabs>
        <w:spacing w:after="60"/>
        <w:rPr>
          <w:color w:val="A50021" w:themeColor="accent2"/>
        </w:rPr>
      </w:pPr>
      <w:r w:rsidRPr="00885DCB">
        <w:rPr>
          <w:color w:val="A50021" w:themeColor="accent2"/>
        </w:rPr>
        <w:t xml:space="preserve">SB </w:t>
      </w:r>
      <w:r w:rsidRPr="00885DCB">
        <w:rPr>
          <w:color w:val="A50021" w:themeColor="accent2"/>
        </w:rPr>
        <w:tab/>
        <w:t>Senate Bill</w:t>
      </w:r>
    </w:p>
    <w:p w14:paraId="34F3ADAC" w14:textId="24472546" w:rsidR="003765BE" w:rsidRPr="00885DCB" w:rsidRDefault="003765BE" w:rsidP="00007774">
      <w:pPr>
        <w:tabs>
          <w:tab w:val="left" w:pos="2880"/>
        </w:tabs>
        <w:spacing w:after="60"/>
        <w:rPr>
          <w:color w:val="A50021" w:themeColor="accent2"/>
        </w:rPr>
      </w:pPr>
      <w:proofErr w:type="spellStart"/>
      <w:r w:rsidRPr="00885DCB">
        <w:rPr>
          <w:color w:val="A50021" w:themeColor="accent2"/>
        </w:rPr>
        <w:t>scf</w:t>
      </w:r>
      <w:proofErr w:type="spellEnd"/>
      <w:r w:rsidRPr="00885DCB">
        <w:rPr>
          <w:color w:val="A50021" w:themeColor="accent2"/>
        </w:rPr>
        <w:t xml:space="preserve"> </w:t>
      </w:r>
      <w:r w:rsidRPr="00885DCB">
        <w:rPr>
          <w:color w:val="A50021" w:themeColor="accent2"/>
        </w:rPr>
        <w:tab/>
        <w:t xml:space="preserve">standard cubic feet </w:t>
      </w:r>
    </w:p>
    <w:p w14:paraId="5D30E008" w14:textId="550FB2B7" w:rsidR="00484D07" w:rsidRDefault="00484D07" w:rsidP="00007774">
      <w:pPr>
        <w:tabs>
          <w:tab w:val="left" w:pos="2880"/>
        </w:tabs>
        <w:spacing w:after="60"/>
        <w:rPr>
          <w:color w:val="A50021" w:themeColor="accent2"/>
        </w:rPr>
      </w:pPr>
      <w:r>
        <w:rPr>
          <w:color w:val="A50021" w:themeColor="accent2"/>
        </w:rPr>
        <w:t>SCS</w:t>
      </w:r>
      <w:r>
        <w:rPr>
          <w:color w:val="A50021" w:themeColor="accent2"/>
        </w:rPr>
        <w:tab/>
        <w:t xml:space="preserve">sustainable </w:t>
      </w:r>
      <w:proofErr w:type="gramStart"/>
      <w:r>
        <w:rPr>
          <w:color w:val="A50021" w:themeColor="accent2"/>
        </w:rPr>
        <w:t>communities</w:t>
      </w:r>
      <w:proofErr w:type="gramEnd"/>
      <w:r>
        <w:rPr>
          <w:color w:val="A50021" w:themeColor="accent2"/>
        </w:rPr>
        <w:t xml:space="preserve"> strategy</w:t>
      </w:r>
    </w:p>
    <w:p w14:paraId="1E03EC85" w14:textId="699D9382" w:rsidR="00762BB4" w:rsidRPr="003765BE" w:rsidRDefault="00762BB4" w:rsidP="00007774">
      <w:pPr>
        <w:tabs>
          <w:tab w:val="left" w:pos="2880"/>
        </w:tabs>
        <w:spacing w:after="60"/>
        <w:rPr>
          <w:color w:val="A50021" w:themeColor="accent2"/>
        </w:rPr>
      </w:pPr>
      <w:r>
        <w:rPr>
          <w:color w:val="A50021" w:themeColor="accent2"/>
        </w:rPr>
        <w:t>SER</w:t>
      </w:r>
      <w:r>
        <w:rPr>
          <w:color w:val="A50021" w:themeColor="accent2"/>
        </w:rPr>
        <w:tab/>
        <w:t>Standard Environmental Reference</w:t>
      </w:r>
    </w:p>
    <w:p w14:paraId="249752F8" w14:textId="5BE23FCA" w:rsidR="003C00C9" w:rsidRPr="003765BE" w:rsidRDefault="003C00C9" w:rsidP="00007774">
      <w:pPr>
        <w:tabs>
          <w:tab w:val="left" w:pos="2880"/>
        </w:tabs>
        <w:spacing w:after="60"/>
        <w:rPr>
          <w:color w:val="A50021" w:themeColor="accent2"/>
        </w:rPr>
      </w:pPr>
      <w:r>
        <w:rPr>
          <w:color w:val="A50021" w:themeColor="accent2"/>
        </w:rPr>
        <w:t>U.S. DOE</w:t>
      </w:r>
      <w:r>
        <w:rPr>
          <w:color w:val="A50021" w:themeColor="accent2"/>
        </w:rPr>
        <w:tab/>
      </w:r>
      <w:r w:rsidRPr="00AB091D">
        <w:rPr>
          <w:color w:val="A50021" w:themeColor="accent2"/>
        </w:rPr>
        <w:t>United States Department of Energy</w:t>
      </w:r>
    </w:p>
    <w:p w14:paraId="5C6B49A1" w14:textId="170AB309" w:rsidR="003765BE" w:rsidRPr="003765BE" w:rsidRDefault="003765BE" w:rsidP="00007774">
      <w:pPr>
        <w:tabs>
          <w:tab w:val="left" w:pos="2880"/>
        </w:tabs>
        <w:spacing w:after="60"/>
        <w:rPr>
          <w:color w:val="A50021" w:themeColor="accent2"/>
        </w:rPr>
      </w:pPr>
      <w:r w:rsidRPr="00A84BF5">
        <w:rPr>
          <w:color w:val="A50021" w:themeColor="accent2"/>
        </w:rPr>
        <w:t>U</w:t>
      </w:r>
      <w:r w:rsidR="00A84BF5" w:rsidRPr="00A84BF5">
        <w:rPr>
          <w:color w:val="A50021" w:themeColor="accent2"/>
        </w:rPr>
        <w:t>.</w:t>
      </w:r>
      <w:r w:rsidRPr="00A84BF5">
        <w:rPr>
          <w:color w:val="A50021" w:themeColor="accent2"/>
        </w:rPr>
        <w:t>S</w:t>
      </w:r>
      <w:r w:rsidR="00A84BF5" w:rsidRPr="00A84BF5">
        <w:rPr>
          <w:color w:val="A50021" w:themeColor="accent2"/>
        </w:rPr>
        <w:t>.</w:t>
      </w:r>
      <w:r w:rsidR="00A64971" w:rsidRPr="00A84BF5">
        <w:rPr>
          <w:color w:val="A50021" w:themeColor="accent2"/>
        </w:rPr>
        <w:t xml:space="preserve"> </w:t>
      </w:r>
      <w:r w:rsidRPr="00A84BF5">
        <w:rPr>
          <w:color w:val="A50021" w:themeColor="accent2"/>
        </w:rPr>
        <w:t>EPA</w:t>
      </w:r>
      <w:r w:rsidRPr="003765BE">
        <w:rPr>
          <w:color w:val="A50021" w:themeColor="accent2"/>
        </w:rPr>
        <w:t xml:space="preserve"> </w:t>
      </w:r>
      <w:r w:rsidRPr="003765BE">
        <w:rPr>
          <w:color w:val="A50021" w:themeColor="accent2"/>
        </w:rPr>
        <w:tab/>
        <w:t xml:space="preserve">United States Environmental Protection Agency </w:t>
      </w:r>
    </w:p>
    <w:p w14:paraId="0E9E0C4E" w14:textId="77777777" w:rsidR="003765BE" w:rsidRDefault="003765BE" w:rsidP="00007774">
      <w:pPr>
        <w:tabs>
          <w:tab w:val="left" w:pos="2880"/>
        </w:tabs>
        <w:spacing w:after="60"/>
        <w:rPr>
          <w:color w:val="A50021" w:themeColor="accent2"/>
        </w:rPr>
      </w:pPr>
      <w:r w:rsidRPr="003765BE">
        <w:rPr>
          <w:color w:val="A50021" w:themeColor="accent2"/>
        </w:rPr>
        <w:t xml:space="preserve">VMT </w:t>
      </w:r>
      <w:r w:rsidRPr="003765BE">
        <w:rPr>
          <w:color w:val="A50021" w:themeColor="accent2"/>
        </w:rPr>
        <w:tab/>
        <w:t>vehicle miles traveled</w:t>
      </w:r>
    </w:p>
    <w:bookmarkEnd w:id="26"/>
    <w:p w14:paraId="2CECF469" w14:textId="77777777" w:rsidR="00007774" w:rsidRDefault="00007774" w:rsidP="00007774">
      <w:pPr>
        <w:tabs>
          <w:tab w:val="left" w:pos="2880"/>
        </w:tabs>
        <w:rPr>
          <w:color w:val="A50021" w:themeColor="accent2"/>
        </w:rPr>
      </w:pPr>
    </w:p>
    <w:p w14:paraId="7E5EF12D" w14:textId="604AB41F" w:rsidR="00007774" w:rsidRDefault="00007774" w:rsidP="00007774">
      <w:pPr>
        <w:tabs>
          <w:tab w:val="left" w:pos="2880"/>
        </w:tabs>
        <w:rPr>
          <w:color w:val="0000FF"/>
        </w:rPr>
        <w:sectPr w:rsidR="00007774" w:rsidSect="00203664">
          <w:footerReference w:type="default" r:id="rId15"/>
          <w:pgSz w:w="12240" w:h="15840"/>
          <w:pgMar w:top="1440" w:right="1440" w:bottom="1440" w:left="1440" w:header="720" w:footer="720" w:gutter="0"/>
          <w:pgNumType w:fmt="lowerRoman" w:start="1"/>
          <w:cols w:space="720"/>
          <w:docGrid w:linePitch="360"/>
        </w:sectPr>
      </w:pPr>
    </w:p>
    <w:p w14:paraId="45A755C5" w14:textId="36F95CC9" w:rsidR="009916C3" w:rsidRDefault="009916C3" w:rsidP="009916C3">
      <w:pPr>
        <w:pStyle w:val="Heading1"/>
        <w:numPr>
          <w:ilvl w:val="0"/>
          <w:numId w:val="0"/>
        </w:numPr>
        <w:ind w:left="2880" w:hanging="2880"/>
      </w:pPr>
      <w:bookmarkStart w:id="27" w:name="_Toc150334759"/>
      <w:bookmarkStart w:id="28" w:name="_Toc157429567"/>
      <w:r>
        <w:lastRenderedPageBreak/>
        <w:t>Executive Summary</w:t>
      </w:r>
      <w:bookmarkEnd w:id="27"/>
      <w:bookmarkEnd w:id="28"/>
      <w:r>
        <w:t xml:space="preserve"> </w:t>
      </w:r>
    </w:p>
    <w:p w14:paraId="160DC057" w14:textId="77777777" w:rsidR="00A250AE" w:rsidRDefault="00A250AE" w:rsidP="00A250AE">
      <w:pPr>
        <w:pStyle w:val="IntroGuidanceHeading1"/>
      </w:pPr>
      <w:r>
        <w:t>GUIDANCE</w:t>
      </w:r>
    </w:p>
    <w:p w14:paraId="4F8433BF" w14:textId="62712504" w:rsidR="00476A6E" w:rsidRPr="00476A6E" w:rsidRDefault="00476A6E" w:rsidP="00476A6E">
      <w:pPr>
        <w:rPr>
          <w:color w:val="0000FF" w:themeColor="accent1"/>
        </w:rPr>
      </w:pPr>
      <w:r w:rsidRPr="00476A6E">
        <w:rPr>
          <w:color w:val="0000FF" w:themeColor="accent1"/>
        </w:rPr>
        <w:t>The Executive Summary includes</w:t>
      </w:r>
      <w:r w:rsidR="008C6FA5">
        <w:rPr>
          <w:color w:val="0000FF" w:themeColor="accent1"/>
        </w:rPr>
        <w:t xml:space="preserve"> major points</w:t>
      </w:r>
      <w:r w:rsidRPr="00476A6E">
        <w:rPr>
          <w:color w:val="0000FF" w:themeColor="accent1"/>
        </w:rPr>
        <w:t xml:space="preserve"> </w:t>
      </w:r>
      <w:r w:rsidR="008C6FA5">
        <w:rPr>
          <w:color w:val="0000FF" w:themeColor="accent1"/>
        </w:rPr>
        <w:t xml:space="preserve">of </w:t>
      </w:r>
      <w:r w:rsidRPr="00476A6E">
        <w:rPr>
          <w:color w:val="0000FF" w:themeColor="accent1"/>
        </w:rPr>
        <w:t>the results</w:t>
      </w:r>
      <w:r w:rsidR="008C6FA5">
        <w:rPr>
          <w:color w:val="0000FF" w:themeColor="accent1"/>
        </w:rPr>
        <w:t>, conclusion, and recommendations</w:t>
      </w:r>
      <w:r w:rsidR="00D41864" w:rsidRPr="00476A6E">
        <w:rPr>
          <w:color w:val="0000FF" w:themeColor="accent1"/>
        </w:rPr>
        <w:t xml:space="preserve">.  </w:t>
      </w:r>
      <w:r w:rsidR="008A7A4E">
        <w:rPr>
          <w:color w:val="0000FF" w:themeColor="accent1"/>
        </w:rPr>
        <w:t>In general, the</w:t>
      </w:r>
      <w:r w:rsidR="008A7A4E" w:rsidRPr="00476A6E">
        <w:rPr>
          <w:color w:val="0000FF" w:themeColor="accent1"/>
        </w:rPr>
        <w:t xml:space="preserve"> </w:t>
      </w:r>
      <w:r w:rsidRPr="00476A6E">
        <w:rPr>
          <w:color w:val="0000FF" w:themeColor="accent1"/>
        </w:rPr>
        <w:t>summary should be limited to no more than two pages</w:t>
      </w:r>
      <w:r w:rsidR="008A7A4E">
        <w:rPr>
          <w:color w:val="0000FF" w:themeColor="accent1"/>
        </w:rPr>
        <w:t>, except for complex projects that might have additional information to present</w:t>
      </w:r>
      <w:r w:rsidRPr="00476A6E">
        <w:rPr>
          <w:color w:val="0000FF" w:themeColor="accent1"/>
        </w:rPr>
        <w:t xml:space="preserve">. </w:t>
      </w:r>
      <w:r w:rsidR="005B205B">
        <w:rPr>
          <w:color w:val="0000FF" w:themeColor="accent1"/>
        </w:rPr>
        <w:t xml:space="preserve"> Avoid using acronyms unless the terms are used more than once in the summary</w:t>
      </w:r>
      <w:r w:rsidR="00D41864">
        <w:rPr>
          <w:color w:val="0000FF" w:themeColor="accent1"/>
        </w:rPr>
        <w:t>.</w:t>
      </w:r>
      <w:r w:rsidR="00D41864" w:rsidRPr="00476A6E">
        <w:rPr>
          <w:color w:val="0000FF" w:themeColor="accent1"/>
        </w:rPr>
        <w:t xml:space="preserve">  </w:t>
      </w:r>
      <w:r w:rsidRPr="00476A6E">
        <w:rPr>
          <w:color w:val="0000FF" w:themeColor="accent1"/>
        </w:rPr>
        <w:t>The following information should be included:</w:t>
      </w:r>
    </w:p>
    <w:p w14:paraId="1DC2101D" w14:textId="33FC18FF" w:rsidR="00476A6E" w:rsidRPr="00476A6E" w:rsidRDefault="00476A6E" w:rsidP="00476A6E">
      <w:pPr>
        <w:pStyle w:val="ListParagraph"/>
        <w:numPr>
          <w:ilvl w:val="0"/>
          <w:numId w:val="13"/>
        </w:numPr>
        <w:rPr>
          <w:color w:val="0000FF" w:themeColor="accent1"/>
        </w:rPr>
      </w:pPr>
      <w:r w:rsidRPr="00476A6E">
        <w:rPr>
          <w:color w:val="0000FF" w:themeColor="accent1"/>
        </w:rPr>
        <w:t>Brief, introductory description of project</w:t>
      </w:r>
      <w:r w:rsidR="00E849AF">
        <w:rPr>
          <w:color w:val="0000FF" w:themeColor="accent1"/>
        </w:rPr>
        <w:t xml:space="preserve"> and EAR analyses</w:t>
      </w:r>
      <w:r w:rsidRPr="00476A6E">
        <w:rPr>
          <w:color w:val="0000FF" w:themeColor="accent1"/>
        </w:rPr>
        <w:t>.</w:t>
      </w:r>
    </w:p>
    <w:p w14:paraId="38F0E753" w14:textId="20EC063F" w:rsidR="00476A6E" w:rsidRPr="00476A6E" w:rsidRDefault="00476A6E" w:rsidP="00476A6E">
      <w:pPr>
        <w:pStyle w:val="ListParagraph"/>
        <w:numPr>
          <w:ilvl w:val="0"/>
          <w:numId w:val="13"/>
        </w:numPr>
        <w:rPr>
          <w:color w:val="0000FF" w:themeColor="accent1"/>
        </w:rPr>
      </w:pPr>
      <w:r w:rsidRPr="00476A6E">
        <w:rPr>
          <w:color w:val="0000FF" w:themeColor="accent1"/>
        </w:rPr>
        <w:t>Anticipated types of energy consumption by project.</w:t>
      </w:r>
      <w:r w:rsidR="005B205B">
        <w:rPr>
          <w:color w:val="0000FF" w:themeColor="accent1"/>
        </w:rPr>
        <w:t xml:space="preserve">  Avoid classifying energy as direct or indirect unless these terms are defined in the summary.</w:t>
      </w:r>
    </w:p>
    <w:p w14:paraId="6C5642D6" w14:textId="40EC902F" w:rsidR="005B205B" w:rsidRPr="005B205B" w:rsidRDefault="00476A6E" w:rsidP="00F27BCB">
      <w:pPr>
        <w:pStyle w:val="ListParagraph"/>
        <w:numPr>
          <w:ilvl w:val="0"/>
          <w:numId w:val="13"/>
        </w:numPr>
        <w:rPr>
          <w:color w:val="0000FF" w:themeColor="accent1"/>
        </w:rPr>
      </w:pPr>
      <w:r w:rsidRPr="005B205B">
        <w:rPr>
          <w:color w:val="0000FF" w:themeColor="accent1"/>
        </w:rPr>
        <w:t xml:space="preserve">Summarized quantity of energy consumption, </w:t>
      </w:r>
      <w:r w:rsidR="005B205B">
        <w:rPr>
          <w:color w:val="0000FF" w:themeColor="accent1"/>
        </w:rPr>
        <w:t>including n</w:t>
      </w:r>
      <w:r w:rsidR="005B205B" w:rsidRPr="005B205B">
        <w:rPr>
          <w:color w:val="0000FF" w:themeColor="accent1"/>
        </w:rPr>
        <w:t>egative and positive energy effects resulting from implementation of the project</w:t>
      </w:r>
      <w:r w:rsidR="005B205B">
        <w:rPr>
          <w:color w:val="0000FF" w:themeColor="accent1"/>
        </w:rPr>
        <w:t>.</w:t>
      </w:r>
      <w:r w:rsidR="005B205B" w:rsidRPr="005B205B">
        <w:rPr>
          <w:color w:val="0000FF" w:themeColor="accent1"/>
        </w:rPr>
        <w:t xml:space="preserve"> </w:t>
      </w:r>
    </w:p>
    <w:p w14:paraId="1E24F7B9" w14:textId="4CC2E84A" w:rsidR="00476A6E" w:rsidRPr="00476A6E" w:rsidRDefault="00476A6E" w:rsidP="00476A6E">
      <w:pPr>
        <w:pStyle w:val="ListParagraph"/>
        <w:numPr>
          <w:ilvl w:val="0"/>
          <w:numId w:val="13"/>
        </w:numPr>
        <w:rPr>
          <w:color w:val="0000FF" w:themeColor="accent1"/>
        </w:rPr>
      </w:pPr>
      <w:r w:rsidRPr="00476A6E">
        <w:rPr>
          <w:color w:val="0000FF" w:themeColor="accent1"/>
        </w:rPr>
        <w:t>Project design features that reduce or conserve energy consumption.</w:t>
      </w:r>
    </w:p>
    <w:p w14:paraId="0B402E48" w14:textId="77777777" w:rsidR="00476A6E" w:rsidRPr="00476A6E" w:rsidRDefault="00476A6E" w:rsidP="00476A6E">
      <w:pPr>
        <w:pStyle w:val="ListParagraph"/>
        <w:numPr>
          <w:ilvl w:val="0"/>
          <w:numId w:val="13"/>
        </w:numPr>
        <w:rPr>
          <w:color w:val="0000FF" w:themeColor="accent1"/>
        </w:rPr>
      </w:pPr>
      <w:r w:rsidRPr="00476A6E">
        <w:rPr>
          <w:color w:val="0000FF" w:themeColor="accent1"/>
        </w:rPr>
        <w:t>Project consistency with adopted federal, state, and local energy regulations, policies, and legislation.</w:t>
      </w:r>
    </w:p>
    <w:p w14:paraId="77454EA7" w14:textId="64F06896" w:rsidR="00476A6E" w:rsidRPr="005B205B" w:rsidRDefault="00476A6E" w:rsidP="00E87C42">
      <w:pPr>
        <w:pStyle w:val="ListParagraph"/>
        <w:numPr>
          <w:ilvl w:val="0"/>
          <w:numId w:val="13"/>
        </w:numPr>
        <w:rPr>
          <w:color w:val="0000FF" w:themeColor="accent1"/>
        </w:rPr>
      </w:pPr>
      <w:r w:rsidRPr="005B205B">
        <w:rPr>
          <w:color w:val="0000FF" w:themeColor="accent1"/>
        </w:rPr>
        <w:t>Description of</w:t>
      </w:r>
      <w:r w:rsidR="009777A6" w:rsidRPr="0023738D">
        <w:rPr>
          <w:color w:val="0000FF" w:themeColor="accent1"/>
        </w:rPr>
        <w:t xml:space="preserve"> any environmental commitments</w:t>
      </w:r>
      <w:r w:rsidRPr="005B205B">
        <w:rPr>
          <w:color w:val="0000FF" w:themeColor="accent1"/>
        </w:rPr>
        <w:t>.</w:t>
      </w:r>
    </w:p>
    <w:p w14:paraId="3029FAB3" w14:textId="0EAB1178" w:rsidR="009916C3" w:rsidRDefault="00476A6E" w:rsidP="00A250AE">
      <w:pPr>
        <w:rPr>
          <w:color w:val="0000FF" w:themeColor="accent1"/>
        </w:rPr>
      </w:pPr>
      <w:r w:rsidRPr="00476A6E">
        <w:rPr>
          <w:color w:val="0000FF" w:themeColor="accent1"/>
        </w:rPr>
        <w:t xml:space="preserve">The term “significant” shall not be used in the </w:t>
      </w:r>
      <w:r w:rsidR="00740E58">
        <w:rPr>
          <w:color w:val="0000FF" w:themeColor="accent1"/>
        </w:rPr>
        <w:t>EAR</w:t>
      </w:r>
      <w:r w:rsidRPr="00476A6E">
        <w:rPr>
          <w:color w:val="0000FF" w:themeColor="accent1"/>
        </w:rPr>
        <w:t xml:space="preserve">.  The determination of significance will be addressed in the CEQA and/or NEPA document.  </w:t>
      </w:r>
    </w:p>
    <w:p w14:paraId="29055798" w14:textId="453E88F9" w:rsidR="008A7A4E" w:rsidRPr="00507367" w:rsidRDefault="00507367" w:rsidP="00585A00">
      <w:pPr>
        <w:rPr>
          <w:color w:val="0000FF" w:themeColor="accent1"/>
        </w:rPr>
      </w:pPr>
      <w:r w:rsidRPr="00507367">
        <w:rPr>
          <w:color w:val="0000FF" w:themeColor="accent1"/>
        </w:rPr>
        <w:t>See the following for an example of an executive summary</w:t>
      </w:r>
      <w:r w:rsidR="00151BEE">
        <w:rPr>
          <w:color w:val="0000FF" w:themeColor="accent1"/>
        </w:rPr>
        <w:t>.</w:t>
      </w:r>
      <w:r w:rsidR="008A7A4E">
        <w:rPr>
          <w:color w:val="0000FF" w:themeColor="accent1"/>
        </w:rPr>
        <w:t xml:space="preserve">  Note that numeric results are not presented and </w:t>
      </w:r>
      <w:r w:rsidR="0022005B">
        <w:rPr>
          <w:color w:val="0000FF" w:themeColor="accent1"/>
        </w:rPr>
        <w:t xml:space="preserve">are </w:t>
      </w:r>
      <w:r w:rsidR="0036785C">
        <w:rPr>
          <w:color w:val="0000FF" w:themeColor="accent1"/>
        </w:rPr>
        <w:t xml:space="preserve">instead </w:t>
      </w:r>
      <w:r w:rsidR="008A7A4E">
        <w:rPr>
          <w:color w:val="0000FF" w:themeColor="accent1"/>
        </w:rPr>
        <w:t>shown as [value].</w:t>
      </w:r>
    </w:p>
    <w:p w14:paraId="5A845B2C" w14:textId="53D4F02A" w:rsidR="00181363" w:rsidRDefault="00181363" w:rsidP="00585A00">
      <w:pPr>
        <w:rPr>
          <w:color w:val="800080" w:themeColor="accent3"/>
        </w:rPr>
      </w:pPr>
      <w:r>
        <w:rPr>
          <w:color w:val="800080" w:themeColor="accent3"/>
        </w:rPr>
        <w:t>Riverside County</w:t>
      </w:r>
      <w:r w:rsidR="005B205B">
        <w:rPr>
          <w:color w:val="800080" w:themeColor="accent3"/>
        </w:rPr>
        <w:t>,</w:t>
      </w:r>
      <w:r w:rsidRPr="00181363">
        <w:rPr>
          <w:color w:val="800080" w:themeColor="accent3"/>
        </w:rPr>
        <w:t xml:space="preserve"> in cooperation with the California Department of Transportation</w:t>
      </w:r>
      <w:r w:rsidR="005B205B">
        <w:rPr>
          <w:color w:val="800080" w:themeColor="accent3"/>
        </w:rPr>
        <w:t xml:space="preserve"> (Caltrans)</w:t>
      </w:r>
      <w:r w:rsidRPr="00181363">
        <w:rPr>
          <w:color w:val="800080" w:themeColor="accent3"/>
        </w:rPr>
        <w:t xml:space="preserve">, </w:t>
      </w:r>
      <w:r>
        <w:rPr>
          <w:color w:val="800080" w:themeColor="accent3"/>
        </w:rPr>
        <w:t>propose</w:t>
      </w:r>
      <w:r w:rsidRPr="00181363">
        <w:rPr>
          <w:color w:val="800080" w:themeColor="accent3"/>
        </w:rPr>
        <w:t xml:space="preserve"> the </w:t>
      </w:r>
      <w:bookmarkStart w:id="29" w:name="_Hlk149030039"/>
      <w:r w:rsidRPr="00181363">
        <w:rPr>
          <w:color w:val="800080" w:themeColor="accent3"/>
        </w:rPr>
        <w:t>Interstate</w:t>
      </w:r>
      <w:r>
        <w:rPr>
          <w:color w:val="800080" w:themeColor="accent3"/>
        </w:rPr>
        <w:t xml:space="preserve"> (I-)</w:t>
      </w:r>
      <w:r w:rsidR="005B205B">
        <w:rPr>
          <w:color w:val="800080" w:themeColor="accent3"/>
        </w:rPr>
        <w:t xml:space="preserve"> </w:t>
      </w:r>
      <w:bookmarkEnd w:id="29"/>
      <w:r>
        <w:rPr>
          <w:color w:val="800080" w:themeColor="accent3"/>
        </w:rPr>
        <w:t>400</w:t>
      </w:r>
      <w:r w:rsidRPr="00181363">
        <w:rPr>
          <w:color w:val="800080" w:themeColor="accent3"/>
        </w:rPr>
        <w:t>/</w:t>
      </w:r>
      <w:r>
        <w:rPr>
          <w:color w:val="800080" w:themeColor="accent3"/>
        </w:rPr>
        <w:t xml:space="preserve">Roadway </w:t>
      </w:r>
      <w:proofErr w:type="gramStart"/>
      <w:r>
        <w:rPr>
          <w:color w:val="800080" w:themeColor="accent3"/>
        </w:rPr>
        <w:t>A</w:t>
      </w:r>
      <w:proofErr w:type="gramEnd"/>
      <w:r w:rsidRPr="00181363">
        <w:rPr>
          <w:color w:val="800080" w:themeColor="accent3"/>
        </w:rPr>
        <w:t xml:space="preserve"> Interchange Improvement Project (project)</w:t>
      </w:r>
      <w:r w:rsidR="00544BC1">
        <w:rPr>
          <w:color w:val="800080" w:themeColor="accent3"/>
        </w:rPr>
        <w:t xml:space="preserve"> to relieve congestion</w:t>
      </w:r>
      <w:r w:rsidRPr="00181363">
        <w:rPr>
          <w:color w:val="800080" w:themeColor="accent3"/>
        </w:rPr>
        <w:t xml:space="preserve">. </w:t>
      </w:r>
      <w:r w:rsidR="00E849AF">
        <w:rPr>
          <w:color w:val="800080" w:themeColor="accent3"/>
        </w:rPr>
        <w:t xml:space="preserve"> </w:t>
      </w:r>
      <w:r w:rsidRPr="00181363">
        <w:rPr>
          <w:color w:val="800080" w:themeColor="accent3"/>
        </w:rPr>
        <w:t xml:space="preserve">The project </w:t>
      </w:r>
      <w:r w:rsidR="005B205B">
        <w:rPr>
          <w:color w:val="800080" w:themeColor="accent3"/>
        </w:rPr>
        <w:t>involves</w:t>
      </w:r>
      <w:r w:rsidRPr="00181363">
        <w:rPr>
          <w:color w:val="800080" w:themeColor="accent3"/>
        </w:rPr>
        <w:t xml:space="preserve"> reconstructing and widening </w:t>
      </w:r>
      <w:r>
        <w:rPr>
          <w:color w:val="800080" w:themeColor="accent3"/>
        </w:rPr>
        <w:t>Roadway A</w:t>
      </w:r>
      <w:r w:rsidRPr="00181363">
        <w:rPr>
          <w:color w:val="800080" w:themeColor="accent3"/>
        </w:rPr>
        <w:t xml:space="preserve"> at I-</w:t>
      </w:r>
      <w:r>
        <w:rPr>
          <w:color w:val="800080" w:themeColor="accent3"/>
        </w:rPr>
        <w:t>400</w:t>
      </w:r>
      <w:r w:rsidRPr="00181363">
        <w:rPr>
          <w:color w:val="800080" w:themeColor="accent3"/>
        </w:rPr>
        <w:t xml:space="preserve"> to improve the operational performance of the interchange</w:t>
      </w:r>
      <w:r w:rsidR="00D41864" w:rsidRPr="00181363">
        <w:rPr>
          <w:color w:val="800080" w:themeColor="accent3"/>
        </w:rPr>
        <w:t xml:space="preserve">.  </w:t>
      </w:r>
      <w:r w:rsidRPr="00181363">
        <w:rPr>
          <w:color w:val="800080" w:themeColor="accent3"/>
        </w:rPr>
        <w:t xml:space="preserve">The </w:t>
      </w:r>
      <w:r>
        <w:rPr>
          <w:color w:val="800080" w:themeColor="accent3"/>
        </w:rPr>
        <w:t>project</w:t>
      </w:r>
      <w:r w:rsidRPr="00181363">
        <w:rPr>
          <w:color w:val="800080" w:themeColor="accent3"/>
        </w:rPr>
        <w:t xml:space="preserve"> is located on I-</w:t>
      </w:r>
      <w:r>
        <w:rPr>
          <w:color w:val="800080" w:themeColor="accent3"/>
        </w:rPr>
        <w:t>400</w:t>
      </w:r>
      <w:r w:rsidRPr="00181363">
        <w:rPr>
          <w:color w:val="800080" w:themeColor="accent3"/>
        </w:rPr>
        <w:t xml:space="preserve"> at </w:t>
      </w:r>
      <w:r w:rsidR="00E849AF">
        <w:rPr>
          <w:color w:val="800080" w:themeColor="accent3"/>
        </w:rPr>
        <w:t>p</w:t>
      </w:r>
      <w:r w:rsidRPr="00181363">
        <w:rPr>
          <w:color w:val="800080" w:themeColor="accent3"/>
        </w:rPr>
        <w:t xml:space="preserve">ost </w:t>
      </w:r>
      <w:r w:rsidR="00E849AF">
        <w:rPr>
          <w:color w:val="800080" w:themeColor="accent3"/>
        </w:rPr>
        <w:t>m</w:t>
      </w:r>
      <w:r w:rsidRPr="00181363">
        <w:rPr>
          <w:color w:val="800080" w:themeColor="accent3"/>
        </w:rPr>
        <w:t>ile 54.7.</w:t>
      </w:r>
      <w:r w:rsidR="00E849AF">
        <w:rPr>
          <w:color w:val="800080" w:themeColor="accent3"/>
        </w:rPr>
        <w:t xml:space="preserve">  Two build alternatives are being considered.  Alternative 1 proposes a tight diamond interchange </w:t>
      </w:r>
      <w:r w:rsidR="005B205B">
        <w:rPr>
          <w:color w:val="800080" w:themeColor="accent3"/>
        </w:rPr>
        <w:t>configuration</w:t>
      </w:r>
      <w:r w:rsidR="0022005B">
        <w:rPr>
          <w:color w:val="800080" w:themeColor="accent3"/>
        </w:rPr>
        <w:t>,</w:t>
      </w:r>
      <w:r w:rsidR="00E849AF">
        <w:rPr>
          <w:color w:val="800080" w:themeColor="accent3"/>
        </w:rPr>
        <w:t xml:space="preserve"> and Alternative 2 proposes a diverging diamond interchange.  The No-Build Alternative is also being studied.</w:t>
      </w:r>
    </w:p>
    <w:p w14:paraId="2C588D0D" w14:textId="0314E451" w:rsidR="00181363" w:rsidRDefault="00181363" w:rsidP="00585A00">
      <w:pPr>
        <w:rPr>
          <w:color w:val="800080" w:themeColor="accent3"/>
        </w:rPr>
      </w:pPr>
      <w:r w:rsidRPr="00181363">
        <w:rPr>
          <w:color w:val="800080" w:themeColor="accent3"/>
        </w:rPr>
        <w:t xml:space="preserve">The purpose of this </w:t>
      </w:r>
      <w:r>
        <w:rPr>
          <w:color w:val="800080" w:themeColor="accent3"/>
        </w:rPr>
        <w:t>Energy Analysis Report (EAR)</w:t>
      </w:r>
      <w:r w:rsidRPr="00181363">
        <w:rPr>
          <w:color w:val="800080" w:themeColor="accent3"/>
        </w:rPr>
        <w:t xml:space="preserve"> is to provide quantitative and comparative analysis of the energy-related impacts of the project</w:t>
      </w:r>
      <w:r>
        <w:rPr>
          <w:color w:val="800080" w:themeColor="accent3"/>
        </w:rPr>
        <w:t>, including consistency with applicable energy regulations, policies, and plans.</w:t>
      </w:r>
      <w:r w:rsidRPr="00181363">
        <w:rPr>
          <w:color w:val="800080" w:themeColor="accent3"/>
        </w:rPr>
        <w:t xml:space="preserve"> </w:t>
      </w:r>
      <w:r w:rsidR="00E849AF">
        <w:rPr>
          <w:color w:val="800080" w:themeColor="accent3"/>
        </w:rPr>
        <w:t xml:space="preserve"> The EAR has been prepared consistent with </w:t>
      </w:r>
      <w:r w:rsidR="00E849AF" w:rsidRPr="00E849AF">
        <w:rPr>
          <w:color w:val="800080" w:themeColor="accent3"/>
        </w:rPr>
        <w:t xml:space="preserve">the methodology described in the </w:t>
      </w:r>
      <w:r w:rsidR="00E849AF" w:rsidRPr="00472599">
        <w:rPr>
          <w:iCs/>
          <w:color w:val="800080" w:themeColor="accent3"/>
        </w:rPr>
        <w:t xml:space="preserve">Caltrans </w:t>
      </w:r>
      <w:r w:rsidR="00762BB4">
        <w:rPr>
          <w:iCs/>
          <w:color w:val="800080" w:themeColor="accent3"/>
        </w:rPr>
        <w:t>SER</w:t>
      </w:r>
      <w:r w:rsidR="00E849AF" w:rsidRPr="00E849AF">
        <w:rPr>
          <w:color w:val="800080" w:themeColor="accent3"/>
        </w:rPr>
        <w:t>, Volume 1, Chapter 13</w:t>
      </w:r>
      <w:r w:rsidR="00E849AF">
        <w:rPr>
          <w:color w:val="800080" w:themeColor="accent3"/>
        </w:rPr>
        <w:t>,</w:t>
      </w:r>
      <w:r w:rsidR="00E849AF" w:rsidRPr="00E849AF">
        <w:rPr>
          <w:color w:val="800080" w:themeColor="accent3"/>
        </w:rPr>
        <w:t xml:space="preserve"> </w:t>
      </w:r>
      <w:r w:rsidR="00E849AF" w:rsidRPr="00E849AF">
        <w:rPr>
          <w:i/>
          <w:iCs/>
          <w:color w:val="800080" w:themeColor="accent3"/>
        </w:rPr>
        <w:t>Energy</w:t>
      </w:r>
      <w:r w:rsidR="00E849AF">
        <w:rPr>
          <w:color w:val="800080" w:themeColor="accent3"/>
        </w:rPr>
        <w:t xml:space="preserve">.  </w:t>
      </w:r>
      <w:r>
        <w:rPr>
          <w:color w:val="800080" w:themeColor="accent3"/>
        </w:rPr>
        <w:t>E</w:t>
      </w:r>
      <w:r w:rsidRPr="00181363">
        <w:rPr>
          <w:color w:val="800080" w:themeColor="accent3"/>
        </w:rPr>
        <w:t>nergy resources required to construct each alternative</w:t>
      </w:r>
      <w:r>
        <w:rPr>
          <w:color w:val="800080" w:themeColor="accent3"/>
        </w:rPr>
        <w:t xml:space="preserve"> are quantified, as well as </w:t>
      </w:r>
      <w:r w:rsidRPr="00181363">
        <w:rPr>
          <w:color w:val="800080" w:themeColor="accent3"/>
        </w:rPr>
        <w:t xml:space="preserve">energy consumed </w:t>
      </w:r>
      <w:r>
        <w:rPr>
          <w:color w:val="800080" w:themeColor="accent3"/>
        </w:rPr>
        <w:t xml:space="preserve">by long-term operations and maintenance of the completed project and </w:t>
      </w:r>
      <w:r w:rsidRPr="00181363">
        <w:rPr>
          <w:color w:val="800080" w:themeColor="accent3"/>
        </w:rPr>
        <w:t xml:space="preserve">by vehicles operating </w:t>
      </w:r>
      <w:r>
        <w:rPr>
          <w:color w:val="800080" w:themeColor="accent3"/>
        </w:rPr>
        <w:t>on the facility in</w:t>
      </w:r>
      <w:r w:rsidRPr="00181363">
        <w:rPr>
          <w:color w:val="800080" w:themeColor="accent3"/>
        </w:rPr>
        <w:t xml:space="preserve"> 2025</w:t>
      </w:r>
      <w:r>
        <w:rPr>
          <w:color w:val="800080" w:themeColor="accent3"/>
        </w:rPr>
        <w:t xml:space="preserve"> (opening year)</w:t>
      </w:r>
      <w:r w:rsidRPr="00181363">
        <w:rPr>
          <w:color w:val="800080" w:themeColor="accent3"/>
        </w:rPr>
        <w:t xml:space="preserve"> and </w:t>
      </w:r>
      <w:r>
        <w:rPr>
          <w:color w:val="800080" w:themeColor="accent3"/>
        </w:rPr>
        <w:t xml:space="preserve">2045 </w:t>
      </w:r>
      <w:r w:rsidRPr="00181363">
        <w:rPr>
          <w:color w:val="800080" w:themeColor="accent3"/>
        </w:rPr>
        <w:t>(design year)</w:t>
      </w:r>
      <w:r>
        <w:rPr>
          <w:color w:val="800080" w:themeColor="accent3"/>
        </w:rPr>
        <w:t>.</w:t>
      </w:r>
    </w:p>
    <w:p w14:paraId="7EB52D52" w14:textId="02A9F0DE" w:rsidR="005B205B" w:rsidRPr="005B205B" w:rsidRDefault="005B205B" w:rsidP="005B205B">
      <w:pPr>
        <w:rPr>
          <w:color w:val="800080" w:themeColor="accent3"/>
        </w:rPr>
      </w:pPr>
      <w:r w:rsidRPr="005B205B">
        <w:rPr>
          <w:color w:val="800080" w:themeColor="accent3"/>
        </w:rPr>
        <w:lastRenderedPageBreak/>
        <w:t xml:space="preserve">Construction of either build alternative would require equipment and vehicles that consume diesel and gasoline.  Temporary construction trailers and site lighting would also consume electricity.  Total energy consumption, expressed in terms of </w:t>
      </w:r>
      <w:bookmarkStart w:id="30" w:name="_Hlk149030035"/>
      <w:r w:rsidRPr="005B205B">
        <w:rPr>
          <w:color w:val="800080" w:themeColor="accent3"/>
        </w:rPr>
        <w:t>British thermal units (BTUs)</w:t>
      </w:r>
      <w:bookmarkEnd w:id="30"/>
      <w:r w:rsidRPr="005B205B">
        <w:rPr>
          <w:color w:val="800080" w:themeColor="accent3"/>
        </w:rPr>
        <w:t xml:space="preserve">, during construction would vary slightly between the two build alternatives.  Alternative 1 would consume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over the </w:t>
      </w:r>
      <w:r w:rsidR="007C79D3">
        <w:rPr>
          <w:color w:val="800080" w:themeColor="accent3"/>
        </w:rPr>
        <w:t>two</w:t>
      </w:r>
      <w:r w:rsidRPr="005B205B">
        <w:rPr>
          <w:color w:val="800080" w:themeColor="accent3"/>
        </w:rPr>
        <w:t xml:space="preserve">-year construction period and Alternative 2 would consume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Energy consumed during construction of either build alternative would be temporary </w:t>
      </w:r>
      <w:proofErr w:type="gramStart"/>
      <w:r w:rsidRPr="005B205B">
        <w:rPr>
          <w:color w:val="800080" w:themeColor="accent3"/>
        </w:rPr>
        <w:t>and</w:t>
      </w:r>
      <w:proofErr w:type="gramEnd"/>
      <w:r w:rsidRPr="005B205B">
        <w:rPr>
          <w:color w:val="800080" w:themeColor="accent3"/>
        </w:rPr>
        <w:t xml:space="preserve"> would not result in a permanent increase in statewide annual energy consumption. </w:t>
      </w:r>
      <w:r w:rsidR="001C311F">
        <w:rPr>
          <w:color w:val="800080" w:themeColor="accent3"/>
        </w:rPr>
        <w:t xml:space="preserve"> </w:t>
      </w:r>
      <w:r w:rsidRPr="005B205B">
        <w:rPr>
          <w:color w:val="800080" w:themeColor="accent3"/>
        </w:rPr>
        <w:t xml:space="preserve">Moreover, construction design features would help conserve energy.  For example, a </w:t>
      </w:r>
      <w:r w:rsidR="00C759BB">
        <w:rPr>
          <w:color w:val="800080" w:themeColor="accent3"/>
        </w:rPr>
        <w:t>T</w:t>
      </w:r>
      <w:r w:rsidRPr="005B205B">
        <w:rPr>
          <w:color w:val="800080" w:themeColor="accent3"/>
        </w:rPr>
        <w:t xml:space="preserve">ransportation </w:t>
      </w:r>
      <w:r w:rsidR="00C759BB">
        <w:rPr>
          <w:color w:val="800080" w:themeColor="accent3"/>
        </w:rPr>
        <w:t>M</w:t>
      </w:r>
      <w:r w:rsidRPr="005B205B">
        <w:rPr>
          <w:color w:val="800080" w:themeColor="accent3"/>
        </w:rPr>
        <w:t xml:space="preserve">anagement </w:t>
      </w:r>
      <w:r w:rsidR="00C759BB">
        <w:rPr>
          <w:color w:val="800080" w:themeColor="accent3"/>
        </w:rPr>
        <w:t>P</w:t>
      </w:r>
      <w:r w:rsidRPr="005B205B">
        <w:rPr>
          <w:color w:val="800080" w:themeColor="accent3"/>
        </w:rPr>
        <w:t xml:space="preserve">lan and best management practices would be implemented to reduce traffic congestion and utilize alternatively fueled construction equipment, as feasible. </w:t>
      </w:r>
    </w:p>
    <w:p w14:paraId="07989B21" w14:textId="17750090" w:rsidR="005B205B" w:rsidRPr="005B205B" w:rsidRDefault="005B205B" w:rsidP="005B205B">
      <w:pPr>
        <w:rPr>
          <w:color w:val="800080" w:themeColor="accent3"/>
        </w:rPr>
      </w:pPr>
      <w:r w:rsidRPr="005B205B">
        <w:rPr>
          <w:color w:val="800080" w:themeColor="accent3"/>
        </w:rPr>
        <w:t>The transportation improvements implemented by the project would</w:t>
      </w:r>
      <w:r>
        <w:rPr>
          <w:color w:val="800080" w:themeColor="accent3"/>
        </w:rPr>
        <w:t xml:space="preserve"> not</w:t>
      </w:r>
      <w:r w:rsidRPr="005B205B">
        <w:rPr>
          <w:color w:val="800080" w:themeColor="accent3"/>
        </w:rPr>
        <w:t xml:space="preserve"> increase the capacity of the I-400/Roadway A interchange system or materially change regional annual vehicle miles traveled compared to the No-Build Alternative</w:t>
      </w:r>
      <w:r w:rsidR="00D41864" w:rsidRPr="005B205B">
        <w:rPr>
          <w:color w:val="800080" w:themeColor="accent3"/>
        </w:rPr>
        <w:t xml:space="preserve">.  </w:t>
      </w:r>
      <w:r w:rsidRPr="005B205B">
        <w:rPr>
          <w:color w:val="800080" w:themeColor="accent3"/>
        </w:rPr>
        <w:t xml:space="preserve">However, implementation of either build alternative would improve traffic flow during peak travel demand periods and reduce stop-and-go conditions.  This in turn results in a more efficient use of energy by vehicles traveling within the project area.  Compared to the No-Build Alternative, Alternative 1 would reduce </w:t>
      </w:r>
      <w:r>
        <w:rPr>
          <w:color w:val="800080" w:themeColor="accent3"/>
        </w:rPr>
        <w:t>vehicle</w:t>
      </w:r>
      <w:r w:rsidRPr="005B205B">
        <w:rPr>
          <w:color w:val="800080" w:themeColor="accent3"/>
        </w:rPr>
        <w:t xml:space="preserve"> energy </w:t>
      </w:r>
      <w:r>
        <w:rPr>
          <w:color w:val="800080" w:themeColor="accent3"/>
        </w:rPr>
        <w:t xml:space="preserve">consumption </w:t>
      </w:r>
      <w:r w:rsidRPr="005B205B">
        <w:rPr>
          <w:color w:val="800080" w:themeColor="accent3"/>
        </w:rPr>
        <w:t xml:space="preserve">by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under opening (2025) year conditions and by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under design (2045) year conditions.  Alternative 2 would reduce energy </w:t>
      </w:r>
      <w:r>
        <w:rPr>
          <w:color w:val="800080" w:themeColor="accent3"/>
        </w:rPr>
        <w:t xml:space="preserve">consumption </w:t>
      </w:r>
      <w:r w:rsidRPr="005B205B">
        <w:rPr>
          <w:color w:val="800080" w:themeColor="accent3"/>
        </w:rPr>
        <w:t xml:space="preserve">by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and </w:t>
      </w:r>
      <w:r w:rsidR="008A7A4E" w:rsidRPr="008A7A4E">
        <w:rPr>
          <w:color w:val="800080" w:themeColor="accent3"/>
        </w:rPr>
        <w:t>[value]</w:t>
      </w:r>
      <w:r w:rsidR="008A7A4E">
        <w:rPr>
          <w:color w:val="800080" w:themeColor="accent3"/>
        </w:rPr>
        <w:t xml:space="preserve"> </w:t>
      </w:r>
      <w:r w:rsidRPr="005B205B">
        <w:rPr>
          <w:color w:val="800080" w:themeColor="accent3"/>
        </w:rPr>
        <w:t>BTUs under opening (2025) and design (2045) year conditions, respectively.  The build alternatives also include several traffic management system elements, such as improvements to the existing bicycle and pedestrian networks, that would</w:t>
      </w:r>
      <w:r>
        <w:rPr>
          <w:color w:val="800080" w:themeColor="accent3"/>
        </w:rPr>
        <w:t xml:space="preserve"> further</w:t>
      </w:r>
      <w:r w:rsidRPr="005B205B">
        <w:rPr>
          <w:color w:val="800080" w:themeColor="accent3"/>
        </w:rPr>
        <w:t xml:space="preserve"> enhance traffic operations and reduce vehicle energy consumption. </w:t>
      </w:r>
    </w:p>
    <w:p w14:paraId="0483E9AE" w14:textId="61EA9DA4" w:rsidR="005B205B" w:rsidRPr="005B205B" w:rsidRDefault="005B205B" w:rsidP="005B205B">
      <w:pPr>
        <w:rPr>
          <w:color w:val="800080" w:themeColor="accent3"/>
        </w:rPr>
      </w:pPr>
      <w:r w:rsidRPr="005B205B">
        <w:rPr>
          <w:color w:val="800080" w:themeColor="accent3"/>
        </w:rPr>
        <w:t>Maintenance of either build alternative would require equipment and vehicles that consume gasoline and diesel.  Operation of new and modified traffic lights and street</w:t>
      </w:r>
      <w:r w:rsidR="00B50860">
        <w:rPr>
          <w:color w:val="800080" w:themeColor="accent3"/>
        </w:rPr>
        <w:t xml:space="preserve"> </w:t>
      </w:r>
      <w:r w:rsidRPr="005B205B">
        <w:rPr>
          <w:color w:val="800080" w:themeColor="accent3"/>
        </w:rPr>
        <w:t xml:space="preserve">lights in the project area would consume electricity.  </w:t>
      </w:r>
      <w:r w:rsidR="00802C91">
        <w:rPr>
          <w:color w:val="800080" w:themeColor="accent3"/>
        </w:rPr>
        <w:t>The frequency of l</w:t>
      </w:r>
      <w:r w:rsidRPr="005B205B">
        <w:rPr>
          <w:color w:val="800080" w:themeColor="accent3"/>
        </w:rPr>
        <w:t xml:space="preserve">ong-term maintenance of the various roadways within the project </w:t>
      </w:r>
      <w:r>
        <w:rPr>
          <w:color w:val="800080" w:themeColor="accent3"/>
        </w:rPr>
        <w:t>area</w:t>
      </w:r>
      <w:r w:rsidRPr="005B205B">
        <w:rPr>
          <w:color w:val="800080" w:themeColor="accent3"/>
        </w:rPr>
        <w:t xml:space="preserve"> would </w:t>
      </w:r>
      <w:r w:rsidR="00802C91">
        <w:rPr>
          <w:color w:val="800080" w:themeColor="accent3"/>
        </w:rPr>
        <w:t>be reduced with implementation of either build alternative</w:t>
      </w:r>
      <w:r w:rsidR="00D41864" w:rsidRPr="005B205B">
        <w:rPr>
          <w:color w:val="800080" w:themeColor="accent3"/>
        </w:rPr>
        <w:t xml:space="preserve">.  </w:t>
      </w:r>
      <w:r w:rsidRPr="005B205B">
        <w:rPr>
          <w:color w:val="800080" w:themeColor="accent3"/>
        </w:rPr>
        <w:t xml:space="preserve">Thus, implementation of the project would </w:t>
      </w:r>
      <w:r w:rsidR="00802C91">
        <w:rPr>
          <w:color w:val="800080" w:themeColor="accent3"/>
        </w:rPr>
        <w:t>reduce</w:t>
      </w:r>
      <w:r w:rsidRPr="005B205B">
        <w:rPr>
          <w:color w:val="800080" w:themeColor="accent3"/>
        </w:rPr>
        <w:t xml:space="preserve"> maintenance energy relative to the No-Build Alternative.  </w:t>
      </w:r>
      <w:r w:rsidR="00635728">
        <w:rPr>
          <w:color w:val="800080" w:themeColor="accent3"/>
        </w:rPr>
        <w:t>O</w:t>
      </w:r>
      <w:r w:rsidRPr="005B205B">
        <w:rPr>
          <w:color w:val="800080" w:themeColor="accent3"/>
        </w:rPr>
        <w:t xml:space="preserve">perational lighting energy would </w:t>
      </w:r>
      <w:r w:rsidR="00635728">
        <w:rPr>
          <w:color w:val="800080" w:themeColor="accent3"/>
        </w:rPr>
        <w:t xml:space="preserve">likewise </w:t>
      </w:r>
      <w:r w:rsidRPr="005B205B">
        <w:rPr>
          <w:color w:val="800080" w:themeColor="accent3"/>
        </w:rPr>
        <w:t>decrease under either build alternative compared to the No-Build Alternative</w:t>
      </w:r>
      <w:r w:rsidR="00D41864" w:rsidRPr="005B205B">
        <w:rPr>
          <w:color w:val="800080" w:themeColor="accent3"/>
        </w:rPr>
        <w:t xml:space="preserve">.  </w:t>
      </w:r>
      <w:r w:rsidRPr="005B205B">
        <w:rPr>
          <w:color w:val="800080" w:themeColor="accent3"/>
        </w:rPr>
        <w:t xml:space="preserve">This is because </w:t>
      </w:r>
      <w:bookmarkStart w:id="31" w:name="_Hlk149030053"/>
      <w:r w:rsidRPr="005B205B">
        <w:rPr>
          <w:color w:val="800080" w:themeColor="accent3"/>
        </w:rPr>
        <w:t xml:space="preserve">light-emitting diode (LED) </w:t>
      </w:r>
      <w:bookmarkEnd w:id="31"/>
      <w:r w:rsidRPr="005B205B">
        <w:rPr>
          <w:color w:val="800080" w:themeColor="accent3"/>
        </w:rPr>
        <w:t>fixtures would be used wherever street</w:t>
      </w:r>
      <w:r w:rsidR="00B50860">
        <w:rPr>
          <w:color w:val="800080" w:themeColor="accent3"/>
        </w:rPr>
        <w:t xml:space="preserve"> </w:t>
      </w:r>
      <w:r w:rsidRPr="005B205B">
        <w:rPr>
          <w:color w:val="800080" w:themeColor="accent3"/>
        </w:rPr>
        <w:t xml:space="preserve">lights and traffic signals are installed or replaced.  The </w:t>
      </w:r>
      <w:r w:rsidR="00635728">
        <w:rPr>
          <w:color w:val="800080" w:themeColor="accent3"/>
        </w:rPr>
        <w:t xml:space="preserve">maintenance and </w:t>
      </w:r>
      <w:r w:rsidRPr="005B205B">
        <w:rPr>
          <w:color w:val="800080" w:themeColor="accent3"/>
        </w:rPr>
        <w:t xml:space="preserve">operational net energy reduction achieved under either build alternative would be </w:t>
      </w:r>
      <w:r w:rsidR="008A7A4E" w:rsidRPr="008A7A4E">
        <w:rPr>
          <w:color w:val="800080" w:themeColor="accent3"/>
        </w:rPr>
        <w:t>[value]</w:t>
      </w:r>
      <w:r w:rsidR="008A7A4E">
        <w:rPr>
          <w:color w:val="800080" w:themeColor="accent3"/>
        </w:rPr>
        <w:t xml:space="preserve"> </w:t>
      </w:r>
      <w:r w:rsidRPr="005B205B">
        <w:rPr>
          <w:color w:val="800080" w:themeColor="accent3"/>
        </w:rPr>
        <w:t xml:space="preserve">BTUs per year.   </w:t>
      </w:r>
    </w:p>
    <w:p w14:paraId="0BB4735E" w14:textId="67D730DB" w:rsidR="005B205B" w:rsidRDefault="005B205B" w:rsidP="005B205B">
      <w:pPr>
        <w:rPr>
          <w:color w:val="800080" w:themeColor="accent3"/>
        </w:rPr>
      </w:pPr>
      <w:r w:rsidRPr="005B205B">
        <w:rPr>
          <w:color w:val="800080" w:themeColor="accent3"/>
        </w:rPr>
        <w:t>The congestion relief and operational enhancements achieved by the project will result in a more efficient use of energy.  Project design features implemented during construction and throughout the life of the project will likewise conserve energy and reduce fuel consumption.  The project design and associated energy conservation features are therefore consistent with energy regulations and policies</w:t>
      </w:r>
      <w:r w:rsidR="00D41864">
        <w:rPr>
          <w:color w:val="800080" w:themeColor="accent3"/>
        </w:rPr>
        <w:t>.</w:t>
      </w:r>
      <w:r w:rsidR="00D41864" w:rsidRPr="007B0D53">
        <w:rPr>
          <w:b/>
          <w:bCs/>
          <w:color w:val="0000FF" w:themeColor="accent1"/>
        </w:rPr>
        <w:t xml:space="preserve">  </w:t>
      </w:r>
      <w:r w:rsidR="007B0D53" w:rsidRPr="007B0D53">
        <w:rPr>
          <w:b/>
          <w:bCs/>
          <w:color w:val="0000FF" w:themeColor="accent1"/>
        </w:rPr>
        <w:t>[End example</w:t>
      </w:r>
      <w:r w:rsidR="007B0D53">
        <w:rPr>
          <w:b/>
          <w:bCs/>
          <w:color w:val="0000FF" w:themeColor="accent1"/>
        </w:rPr>
        <w:t>]</w:t>
      </w:r>
      <w:r w:rsidR="007B0D53" w:rsidRPr="007B0D53">
        <w:rPr>
          <w:color w:val="0000FF" w:themeColor="accent1"/>
        </w:rPr>
        <w:t xml:space="preserve"> </w:t>
      </w:r>
    </w:p>
    <w:p w14:paraId="37AE0D5B" w14:textId="0FEB7824" w:rsidR="00585A00" w:rsidRPr="00612793" w:rsidRDefault="00585A00" w:rsidP="00585A00">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2C611C" w14:textId="730A647B" w:rsidR="00585A00" w:rsidRPr="00A250AE" w:rsidRDefault="00585A00" w:rsidP="00A250AE">
      <w:pPr>
        <w:rPr>
          <w:color w:val="0000FF" w:themeColor="accent1"/>
        </w:rPr>
        <w:sectPr w:rsidR="00585A00" w:rsidRPr="00A250AE" w:rsidSect="00203664">
          <w:footerReference w:type="default" r:id="rId16"/>
          <w:pgSz w:w="12240" w:h="15840"/>
          <w:pgMar w:top="1440" w:right="1440" w:bottom="1440" w:left="1440" w:header="720" w:footer="720" w:gutter="0"/>
          <w:pgNumType w:fmt="lowerRoman"/>
          <w:cols w:space="720"/>
          <w:docGrid w:linePitch="360"/>
        </w:sectPr>
      </w:pPr>
    </w:p>
    <w:p w14:paraId="04371EE7" w14:textId="2AB9BF93" w:rsidR="0099598E" w:rsidRDefault="0099598E" w:rsidP="0099598E">
      <w:pPr>
        <w:pStyle w:val="Heading1"/>
      </w:pPr>
      <w:bookmarkStart w:id="32" w:name="_Toc150334760"/>
      <w:bookmarkStart w:id="33" w:name="_Toc157429568"/>
      <w:r>
        <w:lastRenderedPageBreak/>
        <w:t>Project Description</w:t>
      </w:r>
      <w:bookmarkEnd w:id="32"/>
      <w:bookmarkEnd w:id="33"/>
    </w:p>
    <w:p w14:paraId="27F38FB5" w14:textId="77777777" w:rsidR="00C60770" w:rsidRDefault="00C60770" w:rsidP="00C60770">
      <w:pPr>
        <w:pStyle w:val="IntroGuidanceHeading1"/>
      </w:pPr>
      <w:r>
        <w:t>GUIDANCE</w:t>
      </w:r>
    </w:p>
    <w:p w14:paraId="0AB55CA1" w14:textId="1DD26E32" w:rsidR="00C60770" w:rsidRPr="00C60770" w:rsidRDefault="0089034A" w:rsidP="00C60770">
      <w:pPr>
        <w:rPr>
          <w:color w:val="0000FF" w:themeColor="accent1"/>
        </w:rPr>
      </w:pPr>
      <w:r w:rsidRPr="0089034A">
        <w:rPr>
          <w:color w:val="0000FF" w:themeColor="accent1"/>
        </w:rPr>
        <w:t>Chapter 1 describes the project and general location and provides a concise statement of the project’s purpose and need</w:t>
      </w:r>
      <w:r>
        <w:rPr>
          <w:color w:val="0000FF" w:themeColor="accent1"/>
        </w:rPr>
        <w:t>.</w:t>
      </w:r>
      <w:r w:rsidR="0054280F">
        <w:rPr>
          <w:color w:val="0000FF" w:themeColor="accent1"/>
        </w:rPr>
        <w:t xml:space="preserve">  Much of the information presented in this chapter </w:t>
      </w:r>
      <w:r w:rsidR="0054280F" w:rsidRPr="0054280F">
        <w:rPr>
          <w:color w:val="0000FF" w:themeColor="accent1"/>
        </w:rPr>
        <w:t>should be obtained from the Environmental Generalist/Planner</w:t>
      </w:r>
      <w:r w:rsidR="0054280F">
        <w:rPr>
          <w:color w:val="0000FF" w:themeColor="accent1"/>
        </w:rPr>
        <w:t>.</w:t>
      </w:r>
    </w:p>
    <w:p w14:paraId="51A932BF" w14:textId="73FA5982" w:rsidR="0099598E" w:rsidRDefault="0099598E" w:rsidP="0099598E">
      <w:pPr>
        <w:pStyle w:val="Heading2"/>
      </w:pPr>
      <w:bookmarkStart w:id="34" w:name="_Toc150334761"/>
      <w:bookmarkStart w:id="35" w:name="_Toc157429569"/>
      <w:r>
        <w:t>Introduction</w:t>
      </w:r>
      <w:bookmarkEnd w:id="34"/>
      <w:bookmarkEnd w:id="35"/>
      <w:r>
        <w:t xml:space="preserve"> </w:t>
      </w:r>
    </w:p>
    <w:p w14:paraId="55B1855A" w14:textId="77777777" w:rsidR="00EE7A0C" w:rsidRDefault="00EE7A0C" w:rsidP="00EE7A0C">
      <w:pPr>
        <w:pStyle w:val="IntroGuidanceHeading1"/>
      </w:pPr>
      <w:r>
        <w:t>GUIDANCE</w:t>
      </w:r>
    </w:p>
    <w:p w14:paraId="1655B0C1" w14:textId="2F4F3F66" w:rsidR="00EE7A0C" w:rsidRPr="00C60770" w:rsidRDefault="00627322" w:rsidP="00EE7A0C">
      <w:pPr>
        <w:rPr>
          <w:color w:val="0000FF" w:themeColor="accent1"/>
        </w:rPr>
      </w:pPr>
      <w:r w:rsidRPr="00627322">
        <w:rPr>
          <w:color w:val="0000FF" w:themeColor="accent1"/>
        </w:rPr>
        <w:t>Briefly introduce the project, project sponsors, purpose and need for the proposed project, and the lead agencies under CEQA and NEPA</w:t>
      </w:r>
      <w:r w:rsidR="00D41864" w:rsidRPr="00627322">
        <w:rPr>
          <w:color w:val="0000FF" w:themeColor="accent1"/>
        </w:rPr>
        <w:t xml:space="preserve">.  </w:t>
      </w:r>
      <w:r w:rsidRPr="00627322">
        <w:rPr>
          <w:color w:val="0000FF" w:themeColor="accent1"/>
        </w:rPr>
        <w:t>The lead agency is responsible for supervising the preparation of the environmental document(s).  Be brief, as this material will be discussed in depth later in this section.</w:t>
      </w:r>
    </w:p>
    <w:p w14:paraId="1E69AFDD" w14:textId="77777777"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0CB761" w14:textId="208083E5" w:rsidR="0099598E" w:rsidRDefault="0099598E" w:rsidP="0099598E">
      <w:pPr>
        <w:pStyle w:val="Heading2"/>
      </w:pPr>
      <w:bookmarkStart w:id="36" w:name="_Toc150334762"/>
      <w:bookmarkStart w:id="37" w:name="_Toc157429570"/>
      <w:r>
        <w:t>Location</w:t>
      </w:r>
      <w:bookmarkEnd w:id="36"/>
      <w:bookmarkEnd w:id="37"/>
      <w:r>
        <w:t xml:space="preserve"> </w:t>
      </w:r>
    </w:p>
    <w:p w14:paraId="463E2E3E" w14:textId="77777777" w:rsidR="004751E3" w:rsidRDefault="004751E3" w:rsidP="004751E3">
      <w:pPr>
        <w:pStyle w:val="IntroGuidanceHeading1"/>
      </w:pPr>
      <w:r>
        <w:t>GUIDANCE</w:t>
      </w:r>
    </w:p>
    <w:p w14:paraId="33D9FBF8" w14:textId="3F2EEF62" w:rsidR="004751E3" w:rsidRDefault="006A14FD" w:rsidP="004751E3">
      <w:pPr>
        <w:rPr>
          <w:color w:val="0000FF" w:themeColor="accent1"/>
        </w:rPr>
      </w:pPr>
      <w:r w:rsidRPr="006A14FD">
        <w:rPr>
          <w:color w:val="0000FF" w:themeColor="accent1"/>
        </w:rPr>
        <w:t>Describe the project’s location in this section, including county, route, and post mile(s).  Include figures for reference.  Mapping should be consistent with the maps used in other technical studies and the environmental document</w:t>
      </w:r>
      <w:r>
        <w:rPr>
          <w:color w:val="0000FF" w:themeColor="accent1"/>
        </w:rPr>
        <w:t>.</w:t>
      </w:r>
    </w:p>
    <w:p w14:paraId="0C1EDDEB" w14:textId="054F44CB" w:rsidR="00AE0725" w:rsidRPr="00EA41E3" w:rsidRDefault="00AE0725" w:rsidP="00AE0725">
      <w:pPr>
        <w:pStyle w:val="FigureTitle"/>
        <w:rPr>
          <w:color w:val="0000FF" w:themeColor="accent1"/>
        </w:rPr>
      </w:pPr>
      <w:bookmarkStart w:id="38" w:name="_Toc148696876"/>
      <w:bookmarkStart w:id="39" w:name="_Toc155852747"/>
      <w:r w:rsidRPr="00EA41E3">
        <w:rPr>
          <w:color w:val="800080" w:themeColor="accent3"/>
        </w:rPr>
        <w:t xml:space="preserve">Figure </w:t>
      </w:r>
      <w:r w:rsidRPr="00EA41E3">
        <w:rPr>
          <w:color w:val="800080" w:themeColor="accent3"/>
        </w:rPr>
        <w:fldChar w:fldCharType="begin"/>
      </w:r>
      <w:r w:rsidRPr="00EA41E3">
        <w:rPr>
          <w:color w:val="800080" w:themeColor="accent3"/>
        </w:rPr>
        <w:instrText xml:space="preserve"> STYLEREF 1 \s </w:instrText>
      </w:r>
      <w:r w:rsidRPr="00EA41E3">
        <w:rPr>
          <w:color w:val="800080" w:themeColor="accent3"/>
        </w:rPr>
        <w:fldChar w:fldCharType="separate"/>
      </w:r>
      <w:r w:rsidRPr="00EA41E3">
        <w:rPr>
          <w:noProof/>
          <w:color w:val="800080" w:themeColor="accent3"/>
        </w:rPr>
        <w:t>1</w:t>
      </w:r>
      <w:r w:rsidRPr="00EA41E3">
        <w:rPr>
          <w:noProof/>
          <w:color w:val="800080" w:themeColor="accent3"/>
        </w:rPr>
        <w:fldChar w:fldCharType="end"/>
      </w:r>
      <w:r w:rsidRPr="00EA41E3">
        <w:rPr>
          <w:color w:val="800080" w:themeColor="accent3"/>
        </w:rPr>
        <w:noBreakHyphen/>
      </w:r>
      <w:r w:rsidRPr="00EA41E3">
        <w:rPr>
          <w:color w:val="800080" w:themeColor="accent3"/>
        </w:rPr>
        <w:fldChar w:fldCharType="begin"/>
      </w:r>
      <w:r w:rsidRPr="00EA41E3">
        <w:rPr>
          <w:color w:val="800080" w:themeColor="accent3"/>
        </w:rPr>
        <w:instrText xml:space="preserve"> SEQ Figure \* ARABIC \s 1 </w:instrText>
      </w:r>
      <w:r w:rsidRPr="00EA41E3">
        <w:rPr>
          <w:color w:val="800080" w:themeColor="accent3"/>
        </w:rPr>
        <w:fldChar w:fldCharType="separate"/>
      </w:r>
      <w:r w:rsidRPr="00EA41E3">
        <w:rPr>
          <w:noProof/>
          <w:color w:val="800080" w:themeColor="accent3"/>
        </w:rPr>
        <w:t>1</w:t>
      </w:r>
      <w:r w:rsidRPr="00EA41E3">
        <w:rPr>
          <w:noProof/>
          <w:color w:val="800080" w:themeColor="accent3"/>
        </w:rPr>
        <w:fldChar w:fldCharType="end"/>
      </w:r>
      <w:bookmarkEnd w:id="38"/>
      <w:r w:rsidR="00D41864" w:rsidRPr="00EA41E3">
        <w:rPr>
          <w:color w:val="800080" w:themeColor="accent3"/>
        </w:rPr>
        <w:t xml:space="preserve">.  </w:t>
      </w:r>
      <w:r w:rsidR="00DE09F3" w:rsidRPr="00EA41E3">
        <w:rPr>
          <w:color w:val="800080" w:themeColor="accent3"/>
        </w:rPr>
        <w:t>Project Vicinity</w:t>
      </w:r>
      <w:r w:rsidRPr="00EA41E3">
        <w:rPr>
          <w:color w:val="800080" w:themeColor="accent3"/>
        </w:rPr>
        <w:t xml:space="preserve"> </w:t>
      </w:r>
      <w:r w:rsidRPr="00EA41E3">
        <w:rPr>
          <w:color w:val="0000FF" w:themeColor="accent1"/>
        </w:rPr>
        <w:t xml:space="preserve">[End </w:t>
      </w:r>
      <w:r w:rsidR="00506C3F">
        <w:rPr>
          <w:color w:val="0000FF" w:themeColor="accent1"/>
        </w:rPr>
        <w:t>Example</w:t>
      </w:r>
      <w:r w:rsidR="00506C3F" w:rsidRPr="00EA41E3">
        <w:rPr>
          <w:color w:val="0000FF" w:themeColor="accent1"/>
        </w:rPr>
        <w:t xml:space="preserve"> </w:t>
      </w:r>
      <w:r w:rsidRPr="00EA41E3">
        <w:rPr>
          <w:color w:val="0000FF" w:themeColor="accent1"/>
        </w:rPr>
        <w:t>Text]</w:t>
      </w:r>
      <w:bookmarkEnd w:id="39"/>
    </w:p>
    <w:p w14:paraId="340CF878" w14:textId="43268A58" w:rsidR="00AE0725" w:rsidRPr="00AE0725" w:rsidRDefault="00AE0725" w:rsidP="00AE0725">
      <w:pPr>
        <w:pStyle w:val="FigureTitle"/>
      </w:pPr>
      <w:bookmarkStart w:id="40" w:name="_Toc155852748"/>
      <w:r w:rsidRPr="00EA41E3">
        <w:rPr>
          <w:color w:val="800080" w:themeColor="accent3"/>
        </w:rPr>
        <w:t xml:space="preserve">Figure </w:t>
      </w:r>
      <w:r w:rsidRPr="00EA41E3">
        <w:rPr>
          <w:color w:val="800080" w:themeColor="accent3"/>
        </w:rPr>
        <w:fldChar w:fldCharType="begin"/>
      </w:r>
      <w:r w:rsidRPr="00EA41E3">
        <w:rPr>
          <w:color w:val="800080" w:themeColor="accent3"/>
        </w:rPr>
        <w:instrText xml:space="preserve"> STYLEREF 1 \s </w:instrText>
      </w:r>
      <w:r w:rsidRPr="00EA41E3">
        <w:rPr>
          <w:color w:val="800080" w:themeColor="accent3"/>
        </w:rPr>
        <w:fldChar w:fldCharType="separate"/>
      </w:r>
      <w:r w:rsidRPr="00EA41E3">
        <w:rPr>
          <w:noProof/>
          <w:color w:val="800080" w:themeColor="accent3"/>
        </w:rPr>
        <w:t>1</w:t>
      </w:r>
      <w:r w:rsidRPr="00EA41E3">
        <w:rPr>
          <w:noProof/>
          <w:color w:val="800080" w:themeColor="accent3"/>
        </w:rPr>
        <w:fldChar w:fldCharType="end"/>
      </w:r>
      <w:r w:rsidRPr="00EA41E3">
        <w:rPr>
          <w:color w:val="800080" w:themeColor="accent3"/>
        </w:rPr>
        <w:noBreakHyphen/>
      </w:r>
      <w:r w:rsidRPr="00EA41E3">
        <w:rPr>
          <w:color w:val="800080" w:themeColor="accent3"/>
        </w:rPr>
        <w:fldChar w:fldCharType="begin"/>
      </w:r>
      <w:r w:rsidRPr="00EA41E3">
        <w:rPr>
          <w:color w:val="800080" w:themeColor="accent3"/>
        </w:rPr>
        <w:instrText xml:space="preserve"> SEQ Figure \* ARABIC \s 1 </w:instrText>
      </w:r>
      <w:r w:rsidRPr="00EA41E3">
        <w:rPr>
          <w:color w:val="800080" w:themeColor="accent3"/>
        </w:rPr>
        <w:fldChar w:fldCharType="separate"/>
      </w:r>
      <w:r w:rsidRPr="00EA41E3">
        <w:rPr>
          <w:noProof/>
          <w:color w:val="800080" w:themeColor="accent3"/>
        </w:rPr>
        <w:t>2</w:t>
      </w:r>
      <w:r w:rsidRPr="00EA41E3">
        <w:rPr>
          <w:noProof/>
          <w:color w:val="800080" w:themeColor="accent3"/>
        </w:rPr>
        <w:fldChar w:fldCharType="end"/>
      </w:r>
      <w:r w:rsidR="00D41864" w:rsidRPr="00EA41E3">
        <w:rPr>
          <w:color w:val="800080" w:themeColor="accent3"/>
        </w:rPr>
        <w:t xml:space="preserve">.  </w:t>
      </w:r>
      <w:r w:rsidRPr="00EA41E3">
        <w:rPr>
          <w:color w:val="800080" w:themeColor="accent3"/>
        </w:rPr>
        <w:t xml:space="preserve">Project Location </w:t>
      </w:r>
      <w:r w:rsidRPr="00EA41E3">
        <w:rPr>
          <w:color w:val="0000FF" w:themeColor="accent1"/>
        </w:rPr>
        <w:t xml:space="preserve">[End </w:t>
      </w:r>
      <w:r w:rsidR="00506C3F">
        <w:rPr>
          <w:color w:val="0000FF" w:themeColor="accent1"/>
        </w:rPr>
        <w:t>Example</w:t>
      </w:r>
      <w:r w:rsidR="00506C3F" w:rsidRPr="00EA41E3">
        <w:rPr>
          <w:color w:val="0000FF" w:themeColor="accent1"/>
        </w:rPr>
        <w:t xml:space="preserve"> </w:t>
      </w:r>
      <w:r w:rsidRPr="00EA41E3">
        <w:rPr>
          <w:color w:val="0000FF" w:themeColor="accent1"/>
        </w:rPr>
        <w:t>Text]</w:t>
      </w:r>
      <w:bookmarkEnd w:id="40"/>
    </w:p>
    <w:p w14:paraId="059A35A5" w14:textId="569882AD" w:rsidR="0099598E" w:rsidRPr="00612793" w:rsidRDefault="0099598E" w:rsidP="004751E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9E3F6F3" w14:textId="77777777" w:rsidR="0099598E" w:rsidRDefault="0099598E" w:rsidP="0099598E">
      <w:pPr>
        <w:pStyle w:val="Heading2"/>
      </w:pPr>
      <w:bookmarkStart w:id="41" w:name="_Toc150334763"/>
      <w:bookmarkStart w:id="42" w:name="_Toc157429571"/>
      <w:r>
        <w:t>Purpose and Need</w:t>
      </w:r>
      <w:bookmarkEnd w:id="41"/>
      <w:bookmarkEnd w:id="42"/>
    </w:p>
    <w:p w14:paraId="7E4E2918" w14:textId="77777777" w:rsidR="00711652" w:rsidRDefault="00711652" w:rsidP="00711652">
      <w:pPr>
        <w:pStyle w:val="IntroGuidanceHeading1"/>
      </w:pPr>
      <w:r>
        <w:t>GUIDANCE</w:t>
      </w:r>
    </w:p>
    <w:p w14:paraId="178B6FEA" w14:textId="4BD11F73" w:rsidR="00711652" w:rsidRDefault="00C122DC" w:rsidP="00711652">
      <w:pPr>
        <w:rPr>
          <w:color w:val="0000FF" w:themeColor="accent1"/>
        </w:rPr>
      </w:pPr>
      <w:r w:rsidRPr="00C122DC">
        <w:rPr>
          <w:color w:val="0000FF" w:themeColor="accent1"/>
        </w:rPr>
        <w:t>Describe the project’s purpose and need in this section.  The purpose and need should contain a clear statement describing why the action is necessary and should be consistent with the purpose and need developed for the environmental document.</w:t>
      </w:r>
    </w:p>
    <w:p w14:paraId="13E8F8D2" w14:textId="77777777"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85CC01" w14:textId="77777777" w:rsidR="0099598E" w:rsidRDefault="0099598E" w:rsidP="0099598E">
      <w:pPr>
        <w:pStyle w:val="Heading2"/>
      </w:pPr>
      <w:bookmarkStart w:id="43" w:name="_Toc150334764"/>
      <w:bookmarkStart w:id="44" w:name="_Toc157429572"/>
      <w:r>
        <w:t>Alternatives</w:t>
      </w:r>
      <w:bookmarkEnd w:id="43"/>
      <w:bookmarkEnd w:id="44"/>
    </w:p>
    <w:p w14:paraId="570232C9" w14:textId="77777777" w:rsidR="00C122DC" w:rsidRDefault="00C122DC" w:rsidP="00C122DC">
      <w:pPr>
        <w:pStyle w:val="IntroGuidanceHeading1"/>
      </w:pPr>
      <w:r>
        <w:t>GUIDANCE</w:t>
      </w:r>
    </w:p>
    <w:p w14:paraId="7F1D9177" w14:textId="30E76EE4" w:rsidR="00A16D03" w:rsidRPr="00A16D03" w:rsidRDefault="00A16D03" w:rsidP="00A16D03">
      <w:pPr>
        <w:rPr>
          <w:color w:val="0000FF" w:themeColor="accent1"/>
        </w:rPr>
      </w:pPr>
      <w:r w:rsidRPr="00A16D03">
        <w:rPr>
          <w:color w:val="0000FF" w:themeColor="accent1"/>
        </w:rPr>
        <w:t xml:space="preserve">Include a clear and complete description of each of the project alternatives under consideration, </w:t>
      </w:r>
      <w:r>
        <w:rPr>
          <w:color w:val="0000FF" w:themeColor="accent1"/>
        </w:rPr>
        <w:t xml:space="preserve">a </w:t>
      </w:r>
      <w:r w:rsidRPr="00A16D03">
        <w:rPr>
          <w:color w:val="0000FF" w:themeColor="accent1"/>
        </w:rPr>
        <w:t>clear statement of how the action will be accomplished, and</w:t>
      </w:r>
      <w:r>
        <w:rPr>
          <w:color w:val="0000FF" w:themeColor="accent1"/>
        </w:rPr>
        <w:t xml:space="preserve"> a</w:t>
      </w:r>
      <w:r w:rsidRPr="00A16D03">
        <w:rPr>
          <w:color w:val="0000FF" w:themeColor="accent1"/>
        </w:rPr>
        <w:t xml:space="preserve"> clear description of when the action will occur, including the duration of construction</w:t>
      </w:r>
      <w:r w:rsidR="00D41864" w:rsidRPr="00A16D03">
        <w:rPr>
          <w:color w:val="0000FF" w:themeColor="accent1"/>
        </w:rPr>
        <w:t xml:space="preserve">.  </w:t>
      </w:r>
      <w:r w:rsidRPr="00A16D03">
        <w:rPr>
          <w:color w:val="0000FF" w:themeColor="accent1"/>
        </w:rPr>
        <w:t xml:space="preserve">This </w:t>
      </w:r>
      <w:r w:rsidRPr="00A16D03">
        <w:rPr>
          <w:color w:val="0000FF" w:themeColor="accent1"/>
        </w:rPr>
        <w:lastRenderedPageBreak/>
        <w:t xml:space="preserve">section </w:t>
      </w:r>
      <w:r w:rsidR="0077225A">
        <w:rPr>
          <w:color w:val="0000FF" w:themeColor="accent1"/>
        </w:rPr>
        <w:t>must</w:t>
      </w:r>
      <w:r w:rsidRPr="00A16D03">
        <w:rPr>
          <w:color w:val="0000FF" w:themeColor="accent1"/>
        </w:rPr>
        <w:t xml:space="preserve"> also describe all energy-saving </w:t>
      </w:r>
      <w:r w:rsidR="00617908">
        <w:rPr>
          <w:color w:val="0000FF" w:themeColor="accent1"/>
        </w:rPr>
        <w:t xml:space="preserve">project features </w:t>
      </w:r>
      <w:r w:rsidR="0077225A">
        <w:rPr>
          <w:color w:val="0000FF" w:themeColor="accent1"/>
        </w:rPr>
        <w:t>and/</w:t>
      </w:r>
      <w:r w:rsidRPr="00A16D03">
        <w:rPr>
          <w:color w:val="0000FF" w:themeColor="accent1"/>
        </w:rPr>
        <w:t xml:space="preserve">or conservation measures </w:t>
      </w:r>
      <w:r w:rsidRPr="00617908">
        <w:rPr>
          <w:color w:val="0000FF" w:themeColor="accent1"/>
        </w:rPr>
        <w:t>incorporated into the design of the project</w:t>
      </w:r>
      <w:r w:rsidRPr="00A16D03">
        <w:rPr>
          <w:color w:val="0000FF" w:themeColor="accent1"/>
        </w:rPr>
        <w:t>.</w:t>
      </w:r>
    </w:p>
    <w:p w14:paraId="414DA336" w14:textId="586B6184" w:rsidR="00C122DC" w:rsidRDefault="00A16D03" w:rsidP="00A16D03">
      <w:pPr>
        <w:rPr>
          <w:color w:val="0000FF" w:themeColor="accent1"/>
        </w:rPr>
      </w:pPr>
      <w:r w:rsidRPr="00A16D03">
        <w:rPr>
          <w:color w:val="0000FF" w:themeColor="accent1"/>
        </w:rPr>
        <w:t>Edit alternative names as appropriate</w:t>
      </w:r>
      <w:r w:rsidR="00D41864" w:rsidRPr="00A16D03">
        <w:rPr>
          <w:color w:val="0000FF" w:themeColor="accent1"/>
        </w:rPr>
        <w:t xml:space="preserve">.  </w:t>
      </w:r>
      <w:r w:rsidRPr="00A16D03">
        <w:rPr>
          <w:color w:val="0000FF" w:themeColor="accent1"/>
        </w:rPr>
        <w:t xml:space="preserve">To add additional alternatives, type in the header (alternative) name, highlight header, and choose “Heading </w:t>
      </w:r>
      <w:r w:rsidR="00EE6BDC">
        <w:rPr>
          <w:color w:val="0000FF" w:themeColor="accent1"/>
        </w:rPr>
        <w:t>4</w:t>
      </w:r>
      <w:r w:rsidRPr="00A16D03">
        <w:rPr>
          <w:color w:val="0000FF" w:themeColor="accent1"/>
        </w:rPr>
        <w:t>” located under “Styles" in the “Home” tab of the Ribbon</w:t>
      </w:r>
      <w:r>
        <w:rPr>
          <w:color w:val="0000FF" w:themeColor="accent1"/>
        </w:rPr>
        <w:t>.</w:t>
      </w:r>
    </w:p>
    <w:p w14:paraId="1770324F" w14:textId="6C186B95" w:rsidR="005F3302" w:rsidRDefault="00F56C3C" w:rsidP="00A16D03">
      <w:pPr>
        <w:rPr>
          <w:color w:val="0000FF" w:themeColor="accent1"/>
        </w:rPr>
      </w:pPr>
      <w:r>
        <w:rPr>
          <w:color w:val="0000FF" w:themeColor="accent1"/>
        </w:rPr>
        <w:t xml:space="preserve">The following is example </w:t>
      </w:r>
      <w:r w:rsidR="00CD1D95">
        <w:rPr>
          <w:color w:val="0000FF" w:themeColor="accent1"/>
        </w:rPr>
        <w:t>language</w:t>
      </w:r>
      <w:r w:rsidR="005F3302">
        <w:rPr>
          <w:color w:val="0000FF" w:themeColor="accent1"/>
        </w:rPr>
        <w:t>.</w:t>
      </w:r>
    </w:p>
    <w:p w14:paraId="1B5D247B" w14:textId="0E848280" w:rsidR="005F3302" w:rsidRPr="005B50EE" w:rsidRDefault="005F3302" w:rsidP="00A16D03">
      <w:pPr>
        <w:rPr>
          <w:color w:val="800080" w:themeColor="accent3"/>
        </w:rPr>
      </w:pPr>
      <w:r w:rsidRPr="005F3302">
        <w:rPr>
          <w:color w:val="800080" w:themeColor="accent3"/>
        </w:rPr>
        <w:t xml:space="preserve">This section describes the </w:t>
      </w:r>
      <w:r w:rsidR="00EE6BDC">
        <w:rPr>
          <w:color w:val="800080" w:themeColor="accent3"/>
        </w:rPr>
        <w:t xml:space="preserve">No-Build Alternative and </w:t>
      </w:r>
      <w:r w:rsidR="005B50EE">
        <w:rPr>
          <w:color w:val="800080" w:themeColor="accent3"/>
        </w:rPr>
        <w:t>b</w:t>
      </w:r>
      <w:r>
        <w:rPr>
          <w:color w:val="800080" w:themeColor="accent3"/>
        </w:rPr>
        <w:t xml:space="preserve">uild </w:t>
      </w:r>
      <w:r w:rsidR="005B50EE">
        <w:rPr>
          <w:color w:val="800080" w:themeColor="accent3"/>
        </w:rPr>
        <w:t>a</w:t>
      </w:r>
      <w:r w:rsidRPr="005F3302">
        <w:rPr>
          <w:color w:val="800080" w:themeColor="accent3"/>
        </w:rPr>
        <w:t xml:space="preserve">lternatives developed by </w:t>
      </w:r>
      <w:r w:rsidR="00BA1540">
        <w:rPr>
          <w:color w:val="800080" w:themeColor="accent3"/>
        </w:rPr>
        <w:t>the Project Development Team</w:t>
      </w:r>
      <w:r w:rsidRPr="005F3302">
        <w:rPr>
          <w:color w:val="800080" w:themeColor="accent3"/>
        </w:rPr>
        <w:t xml:space="preserve"> to achieve the project purpose and need. </w:t>
      </w:r>
      <w:r>
        <w:rPr>
          <w:color w:val="800080" w:themeColor="accent3"/>
        </w:rPr>
        <w:t xml:space="preserve"> </w:t>
      </w:r>
      <w:r w:rsidRPr="005F3302">
        <w:rPr>
          <w:color w:val="800080" w:themeColor="accent3"/>
        </w:rPr>
        <w:t xml:space="preserve">The </w:t>
      </w:r>
      <w:r w:rsidR="005B50EE">
        <w:rPr>
          <w:color w:val="800080" w:themeColor="accent3"/>
        </w:rPr>
        <w:t>b</w:t>
      </w:r>
      <w:r>
        <w:rPr>
          <w:color w:val="800080" w:themeColor="accent3"/>
        </w:rPr>
        <w:t xml:space="preserve">uild </w:t>
      </w:r>
      <w:r w:rsidR="005B50EE">
        <w:rPr>
          <w:color w:val="800080" w:themeColor="accent3"/>
        </w:rPr>
        <w:t>a</w:t>
      </w:r>
      <w:r>
        <w:rPr>
          <w:color w:val="800080" w:themeColor="accent3"/>
        </w:rPr>
        <w:t>lternatives</w:t>
      </w:r>
      <w:r w:rsidRPr="005F3302">
        <w:rPr>
          <w:color w:val="800080" w:themeColor="accent3"/>
        </w:rPr>
        <w:t xml:space="preserve"> are Alternative </w:t>
      </w:r>
      <w:r>
        <w:rPr>
          <w:color w:val="800080" w:themeColor="accent3"/>
        </w:rPr>
        <w:t>1</w:t>
      </w:r>
      <w:r w:rsidRPr="005F3302">
        <w:rPr>
          <w:color w:val="800080" w:themeColor="accent3"/>
        </w:rPr>
        <w:t xml:space="preserve"> (Tight Diamond Interchange) and Alternative </w:t>
      </w:r>
      <w:r>
        <w:rPr>
          <w:color w:val="800080" w:themeColor="accent3"/>
        </w:rPr>
        <w:t>2</w:t>
      </w:r>
      <w:r w:rsidRPr="005F3302">
        <w:rPr>
          <w:color w:val="800080" w:themeColor="accent3"/>
        </w:rPr>
        <w:t xml:space="preserve"> (Diverging Diamond Interchange). </w:t>
      </w:r>
      <w:r>
        <w:rPr>
          <w:color w:val="800080" w:themeColor="accent3"/>
        </w:rPr>
        <w:t xml:space="preserve"> </w:t>
      </w:r>
      <w:r w:rsidR="007C79D3">
        <w:rPr>
          <w:color w:val="800080" w:themeColor="accent3"/>
        </w:rPr>
        <w:t>Elements</w:t>
      </w:r>
      <w:r w:rsidR="00EE6BDC">
        <w:rPr>
          <w:color w:val="800080" w:themeColor="accent3"/>
        </w:rPr>
        <w:t xml:space="preserve"> common to both </w:t>
      </w:r>
      <w:r w:rsidR="005B50EE">
        <w:rPr>
          <w:color w:val="800080" w:themeColor="accent3"/>
        </w:rPr>
        <w:t>b</w:t>
      </w:r>
      <w:r w:rsidR="00EE6BDC">
        <w:rPr>
          <w:color w:val="800080" w:themeColor="accent3"/>
        </w:rPr>
        <w:t xml:space="preserve">uild </w:t>
      </w:r>
      <w:r w:rsidR="005B50EE">
        <w:rPr>
          <w:color w:val="800080" w:themeColor="accent3"/>
        </w:rPr>
        <w:t>a</w:t>
      </w:r>
      <w:r w:rsidR="00EE6BDC">
        <w:rPr>
          <w:color w:val="800080" w:themeColor="accent3"/>
        </w:rPr>
        <w:t xml:space="preserve">lternatives and </w:t>
      </w:r>
      <w:r w:rsidR="00EE6BDC" w:rsidRPr="00EE6BDC">
        <w:rPr>
          <w:color w:val="800080" w:themeColor="accent3"/>
        </w:rPr>
        <w:t xml:space="preserve">energy-saving project </w:t>
      </w:r>
      <w:r w:rsidR="00EE6BDC">
        <w:rPr>
          <w:color w:val="800080" w:themeColor="accent3"/>
        </w:rPr>
        <w:t xml:space="preserve">design </w:t>
      </w:r>
      <w:r w:rsidR="007C79D3">
        <w:rPr>
          <w:color w:val="800080" w:themeColor="accent3"/>
        </w:rPr>
        <w:t>features</w:t>
      </w:r>
      <w:r w:rsidR="00EE6BDC" w:rsidRPr="00EE6BDC">
        <w:rPr>
          <w:color w:val="800080" w:themeColor="accent3"/>
        </w:rPr>
        <w:t xml:space="preserve"> </w:t>
      </w:r>
      <w:r w:rsidR="00EE6BDC">
        <w:rPr>
          <w:color w:val="800080" w:themeColor="accent3"/>
        </w:rPr>
        <w:t>are also described.</w:t>
      </w:r>
      <w:r w:rsidR="001B3106">
        <w:rPr>
          <w:color w:val="800080" w:themeColor="accent3"/>
        </w:rPr>
        <w:t xml:space="preserve"> </w:t>
      </w:r>
      <w:r w:rsidR="00F94684">
        <w:rPr>
          <w:color w:val="800080" w:themeColor="accent3"/>
        </w:rPr>
        <w:t xml:space="preserve"> </w:t>
      </w:r>
      <w:r w:rsidR="001B3106" w:rsidRPr="001B3106">
        <w:rPr>
          <w:b/>
          <w:bCs/>
          <w:color w:val="800080" w:themeColor="accent3"/>
        </w:rPr>
        <w:t>[End example]</w:t>
      </w:r>
    </w:p>
    <w:p w14:paraId="19E1314B" w14:textId="1866F83B" w:rsidR="0099598E" w:rsidRPr="00612793" w:rsidRDefault="0099598E" w:rsidP="00C122D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CF0026D" w14:textId="77777777" w:rsidR="0099598E" w:rsidRDefault="0099598E" w:rsidP="0099598E">
      <w:pPr>
        <w:pStyle w:val="Heading3"/>
      </w:pPr>
      <w:bookmarkStart w:id="45" w:name="_Toc150334765"/>
      <w:bookmarkStart w:id="46" w:name="_Toc157429573"/>
      <w:r>
        <w:t>No-Build Alternative</w:t>
      </w:r>
      <w:bookmarkEnd w:id="45"/>
      <w:bookmarkEnd w:id="46"/>
      <w:r>
        <w:t xml:space="preserve"> </w:t>
      </w:r>
    </w:p>
    <w:p w14:paraId="318DFCFF" w14:textId="566550B4" w:rsidR="00CD1D95" w:rsidRDefault="00CD1D95" w:rsidP="005B50EE">
      <w:pPr>
        <w:rPr>
          <w:color w:val="0000FF" w:themeColor="accent1"/>
        </w:rPr>
      </w:pPr>
      <w:r>
        <w:rPr>
          <w:color w:val="0000FF" w:themeColor="accent1"/>
        </w:rPr>
        <w:t>The following is an example description of the No-Build Alternative.</w:t>
      </w:r>
    </w:p>
    <w:p w14:paraId="6178738D" w14:textId="4FD09802" w:rsidR="005F3302" w:rsidRPr="005B50EE" w:rsidRDefault="005F3302" w:rsidP="005B50EE">
      <w:pPr>
        <w:rPr>
          <w:color w:val="800080" w:themeColor="accent3"/>
        </w:rPr>
      </w:pPr>
      <w:r w:rsidRPr="005B50EE">
        <w:rPr>
          <w:color w:val="800080" w:themeColor="accent3"/>
        </w:rPr>
        <w:t>Under the No-Build Alternative, no reconstruction or improvements would be made to the existing I-</w:t>
      </w:r>
      <w:r>
        <w:rPr>
          <w:color w:val="800080" w:themeColor="accent3"/>
        </w:rPr>
        <w:t>400</w:t>
      </w:r>
      <w:r w:rsidRPr="005B50EE">
        <w:rPr>
          <w:color w:val="800080" w:themeColor="accent3"/>
        </w:rPr>
        <w:t>/</w:t>
      </w:r>
      <w:r>
        <w:rPr>
          <w:color w:val="800080" w:themeColor="accent3"/>
        </w:rPr>
        <w:t>Roadway A</w:t>
      </w:r>
      <w:r w:rsidRPr="005B50EE">
        <w:rPr>
          <w:color w:val="800080" w:themeColor="accent3"/>
        </w:rPr>
        <w:t xml:space="preserve"> interchange other than routine maintenance.</w:t>
      </w:r>
      <w:r w:rsidR="00F56C3C">
        <w:rPr>
          <w:color w:val="800080" w:themeColor="accent3"/>
        </w:rPr>
        <w:t xml:space="preserve">  </w:t>
      </w:r>
      <w:bookmarkStart w:id="47" w:name="_Hlk153279387"/>
      <w:r w:rsidR="00F56C3C" w:rsidRPr="005B0F4B">
        <w:rPr>
          <w:b/>
          <w:bCs/>
          <w:color w:val="0000FF" w:themeColor="accent1"/>
        </w:rPr>
        <w:t xml:space="preserve">[End </w:t>
      </w:r>
      <w:r w:rsidR="00F56C3C">
        <w:rPr>
          <w:b/>
          <w:bCs/>
          <w:color w:val="0000FF" w:themeColor="accent1"/>
        </w:rPr>
        <w:t>example</w:t>
      </w:r>
      <w:r w:rsidR="00F56C3C" w:rsidRPr="005B0F4B">
        <w:rPr>
          <w:b/>
          <w:bCs/>
          <w:color w:val="0000FF" w:themeColor="accent1"/>
        </w:rPr>
        <w:t>]</w:t>
      </w:r>
      <w:bookmarkEnd w:id="47"/>
    </w:p>
    <w:p w14:paraId="46A4A13B" w14:textId="77777777"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34FC97" w14:textId="77777777" w:rsidR="005F3302" w:rsidRDefault="005F3302" w:rsidP="0099598E">
      <w:pPr>
        <w:pStyle w:val="Heading3"/>
      </w:pPr>
      <w:bookmarkStart w:id="48" w:name="_Toc150334766"/>
      <w:bookmarkStart w:id="49" w:name="_Toc157429574"/>
      <w:r>
        <w:t>Build Alternatives</w:t>
      </w:r>
      <w:bookmarkEnd w:id="49"/>
      <w:r>
        <w:t xml:space="preserve"> </w:t>
      </w:r>
    </w:p>
    <w:p w14:paraId="7E99F50C" w14:textId="3DDA3BCD" w:rsidR="0099598E" w:rsidRDefault="0099598E" w:rsidP="005B50EE">
      <w:pPr>
        <w:pStyle w:val="Heading4"/>
      </w:pPr>
      <w:r>
        <w:t>Alternative</w:t>
      </w:r>
      <w:r w:rsidR="00AE0725">
        <w:t xml:space="preserve"> 1</w:t>
      </w:r>
      <w:bookmarkEnd w:id="48"/>
      <w:r>
        <w:t xml:space="preserve"> </w:t>
      </w:r>
    </w:p>
    <w:p w14:paraId="5B1BA37B" w14:textId="54606E72" w:rsidR="00CD1D95" w:rsidRDefault="00CD1D95" w:rsidP="00CD1D95">
      <w:pPr>
        <w:rPr>
          <w:color w:val="0000FF" w:themeColor="accent1"/>
        </w:rPr>
      </w:pPr>
      <w:r>
        <w:rPr>
          <w:color w:val="0000FF" w:themeColor="accent1"/>
        </w:rPr>
        <w:t>The following is an example description of Alternative 1.</w:t>
      </w:r>
    </w:p>
    <w:p w14:paraId="7AC7309A" w14:textId="5B73F446" w:rsidR="005F3302" w:rsidRPr="005B50EE" w:rsidRDefault="005F3302" w:rsidP="005B50EE">
      <w:pPr>
        <w:rPr>
          <w:color w:val="800080" w:themeColor="accent3"/>
        </w:rPr>
      </w:pPr>
      <w:r w:rsidRPr="005B50EE">
        <w:rPr>
          <w:color w:val="800080" w:themeColor="accent3"/>
        </w:rPr>
        <w:t xml:space="preserve">This alternative would reconstruct the existing interchange in a tight diamond interchange configuration.  Improvements include widening Roadway A, the I-400 overcrossing, the Water Bridge, and the I-400 ramps.  Roadway A at the I-400 overcrossing and Water Bridge would accommodate two through lanes in each direction and would include two left-turn lanes at each ramp intersection for access to I-400.  Alternative 1 also includes the construction of nonvehicular and pedestrian access improvements.  These include a 6.5-foot-wide sidewalk on both the west and east sides of Roadway A </w:t>
      </w:r>
      <w:r w:rsidR="00D36CBA">
        <w:rPr>
          <w:color w:val="800080" w:themeColor="accent3"/>
        </w:rPr>
        <w:t>within</w:t>
      </w:r>
      <w:r w:rsidRPr="005B50EE">
        <w:rPr>
          <w:color w:val="800080" w:themeColor="accent3"/>
        </w:rPr>
        <w:t xml:space="preserve"> the </w:t>
      </w:r>
      <w:r w:rsidR="00D36CBA">
        <w:rPr>
          <w:color w:val="800080" w:themeColor="accent3"/>
        </w:rPr>
        <w:t xml:space="preserve">project </w:t>
      </w:r>
      <w:r w:rsidRPr="005B50EE">
        <w:rPr>
          <w:color w:val="800080" w:themeColor="accent3"/>
        </w:rPr>
        <w:t>limits.  A shared 10-foot-wide path for bikes is proposed on both the west and east side shoulders of Roadway A.</w:t>
      </w:r>
      <w:r w:rsidR="00F56C3C">
        <w:rPr>
          <w:color w:val="800080" w:themeColor="accent3"/>
        </w:rPr>
        <w:t xml:space="preserve">  </w:t>
      </w:r>
      <w:r w:rsidR="00F56C3C" w:rsidRPr="005B0F4B">
        <w:rPr>
          <w:b/>
          <w:bCs/>
          <w:color w:val="0000FF" w:themeColor="accent1"/>
        </w:rPr>
        <w:t xml:space="preserve">[End </w:t>
      </w:r>
      <w:r w:rsidR="00F56C3C">
        <w:rPr>
          <w:b/>
          <w:bCs/>
          <w:color w:val="0000FF" w:themeColor="accent1"/>
        </w:rPr>
        <w:t>example</w:t>
      </w:r>
      <w:r w:rsidR="00F56C3C" w:rsidRPr="005B0F4B">
        <w:rPr>
          <w:b/>
          <w:bCs/>
          <w:color w:val="0000FF" w:themeColor="accent1"/>
        </w:rPr>
        <w:t>]</w:t>
      </w:r>
    </w:p>
    <w:p w14:paraId="09D5985C" w14:textId="77777777" w:rsidR="0099598E"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A9BA5B" w14:textId="518E0E25" w:rsidR="00AE0725" w:rsidRPr="00305D45" w:rsidRDefault="00AE0725" w:rsidP="005B50EE">
      <w:pPr>
        <w:pStyle w:val="Heading4"/>
      </w:pPr>
      <w:bookmarkStart w:id="50" w:name="_Toc150334767"/>
      <w:r>
        <w:lastRenderedPageBreak/>
        <w:t>Alternative 2</w:t>
      </w:r>
      <w:bookmarkEnd w:id="50"/>
    </w:p>
    <w:p w14:paraId="2BA21BCE" w14:textId="6B272317" w:rsidR="00CD1D95" w:rsidRDefault="00CD1D95" w:rsidP="00CD1D95">
      <w:pPr>
        <w:rPr>
          <w:color w:val="0000FF" w:themeColor="accent1"/>
        </w:rPr>
      </w:pPr>
      <w:r>
        <w:rPr>
          <w:color w:val="0000FF" w:themeColor="accent1"/>
        </w:rPr>
        <w:t>The following is an example description of Alternative 2.</w:t>
      </w:r>
    </w:p>
    <w:p w14:paraId="7EED3D8D" w14:textId="1481F3CF" w:rsidR="005F3302" w:rsidRDefault="005F3302">
      <w:pPr>
        <w:rPr>
          <w:color w:val="800080" w:themeColor="accent3"/>
        </w:rPr>
      </w:pPr>
      <w:r w:rsidRPr="005B50EE">
        <w:rPr>
          <w:color w:val="800080" w:themeColor="accent3"/>
        </w:rPr>
        <w:t>This alternative would reconstruct the existing interchange in a diverging diamond interchange (DDI) configuration.  A DDI is a type of diamond interchange in which the northbound and southbound direction of travel cross to opposite sides between signalized crossover intersections.  The DDI allows for two-phase operations at both signalized crossover intersections.  The configuration of the DDI contributes to a safer intersection by reducing vehicle speeds and reducing the number of vehicle conflict points.  Improvements include widening Roadway A, the I-400 overcrossing, the Water Bridge, and the I-400 ramps.  Separate bridge structures would be constructed for each direction of travel for the I-400 overcrossing and the Water Bridge.  Roadway A at the I-400 overcrossing and Water Bridge would accommodate two through lanes in each direction.</w:t>
      </w:r>
      <w:r w:rsidR="00F56C3C">
        <w:rPr>
          <w:color w:val="800080" w:themeColor="accent3"/>
        </w:rPr>
        <w:t xml:space="preserve">  </w:t>
      </w:r>
      <w:r w:rsidR="00F56C3C" w:rsidRPr="005B0F4B">
        <w:rPr>
          <w:b/>
          <w:bCs/>
          <w:color w:val="0000FF" w:themeColor="accent1"/>
        </w:rPr>
        <w:t xml:space="preserve">[End </w:t>
      </w:r>
      <w:r w:rsidR="00F56C3C">
        <w:rPr>
          <w:b/>
          <w:bCs/>
          <w:color w:val="0000FF" w:themeColor="accent1"/>
        </w:rPr>
        <w:t>example</w:t>
      </w:r>
      <w:r w:rsidR="00F56C3C" w:rsidRPr="005B0F4B">
        <w:rPr>
          <w:b/>
          <w:bCs/>
          <w:color w:val="0000FF" w:themeColor="accent1"/>
        </w:rPr>
        <w:t>]</w:t>
      </w:r>
    </w:p>
    <w:p w14:paraId="56DD41EB" w14:textId="5E88A39E" w:rsidR="00EE6BDC" w:rsidRPr="00EE6BDC" w:rsidRDefault="00EE6BD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BBCDCDB" w14:textId="65D0FA34" w:rsidR="00EE6BDC" w:rsidRDefault="00EE6BDC" w:rsidP="00EE6BDC">
      <w:pPr>
        <w:pStyle w:val="Heading4"/>
      </w:pPr>
      <w:r>
        <w:t xml:space="preserve">Common Features of the Build Alternatives </w:t>
      </w:r>
    </w:p>
    <w:p w14:paraId="3F558DD5" w14:textId="5BD4B771" w:rsidR="00CD1D95" w:rsidRDefault="00CD1D95" w:rsidP="00CD1D95">
      <w:pPr>
        <w:rPr>
          <w:color w:val="0000FF" w:themeColor="accent1"/>
        </w:rPr>
      </w:pPr>
      <w:r>
        <w:rPr>
          <w:color w:val="0000FF" w:themeColor="accent1"/>
        </w:rPr>
        <w:t>The following is an example description of common features of the build alternatives.</w:t>
      </w:r>
    </w:p>
    <w:p w14:paraId="7892B24F" w14:textId="5DF8A717" w:rsidR="00EE6BDC" w:rsidRPr="00EE6BDC" w:rsidRDefault="00EE6BDC" w:rsidP="005B50EE">
      <w:pPr>
        <w:pStyle w:val="Heading5"/>
        <w:rPr>
          <w:color w:val="800080" w:themeColor="accent3"/>
        </w:rPr>
      </w:pPr>
      <w:r w:rsidRPr="00EE6BDC">
        <w:rPr>
          <w:color w:val="800080" w:themeColor="accent3"/>
        </w:rPr>
        <w:t>Parcel and Right-of-Way Impacts</w:t>
      </w:r>
    </w:p>
    <w:p w14:paraId="287253E1" w14:textId="05DB1276" w:rsidR="00EE6BDC" w:rsidRPr="00EE6BDC" w:rsidRDefault="00EE6BDC" w:rsidP="00EE6BDC">
      <w:pPr>
        <w:rPr>
          <w:color w:val="800080" w:themeColor="accent3"/>
        </w:rPr>
      </w:pPr>
      <w:r w:rsidRPr="00EE6BDC">
        <w:rPr>
          <w:color w:val="800080" w:themeColor="accent3"/>
        </w:rPr>
        <w:t xml:space="preserve">Alternative 1 would permanently impact parcels in all four quadrants of the existing interchange.  Alternative 2 would permanently impact parcels in the northwest, northeast, and southeast quadrants of the existing interchange.  Both alternatives would permanently impact parcels on both sides of Roadway A that are located north of the interchange, from the westbound I-400 ramps.  South of the interchange, from the Stormwater Channel to Roadway B, permanent impacts </w:t>
      </w:r>
      <w:r w:rsidR="00490C96">
        <w:rPr>
          <w:color w:val="800080" w:themeColor="accent3"/>
        </w:rPr>
        <w:t>on</w:t>
      </w:r>
      <w:r w:rsidRPr="00EE6BDC">
        <w:rPr>
          <w:color w:val="800080" w:themeColor="accent3"/>
        </w:rPr>
        <w:t xml:space="preserve"> parcels in the southwest and southeast quadrants would occur under Alternative 1, while Alternative 2 would permanently impact parcels in the southeast quadrant only.  Temporary impacts are anticipated in all four interchange quadrants and on both sides of Roadway A under both alternatives, which includes minimum impacts </w:t>
      </w:r>
      <w:r w:rsidR="00490C96">
        <w:rPr>
          <w:color w:val="800080" w:themeColor="accent3"/>
        </w:rPr>
        <w:t>on</w:t>
      </w:r>
      <w:r w:rsidRPr="00EE6BDC">
        <w:rPr>
          <w:color w:val="800080" w:themeColor="accent3"/>
        </w:rPr>
        <w:t xml:space="preserve"> two existing gas stations, both located in the southwest quadrant of the interchange.  Due to the new bridge construction over the Stormwater Channel, temporary and permanent impacts </w:t>
      </w:r>
      <w:r w:rsidR="00490C96">
        <w:rPr>
          <w:color w:val="800080" w:themeColor="accent3"/>
        </w:rPr>
        <w:t>on</w:t>
      </w:r>
      <w:r w:rsidRPr="00EE6BDC">
        <w:rPr>
          <w:color w:val="800080" w:themeColor="accent3"/>
        </w:rPr>
        <w:t xml:space="preserve"> the channel and existing right-of-way are anticipated.</w:t>
      </w:r>
    </w:p>
    <w:p w14:paraId="099FFAAB" w14:textId="67A72EC4" w:rsidR="00EE6BDC" w:rsidRPr="00EE6BDC" w:rsidRDefault="00EE6BDC" w:rsidP="00EE6BDC">
      <w:pPr>
        <w:pStyle w:val="Heading5"/>
        <w:rPr>
          <w:color w:val="800080" w:themeColor="accent3"/>
        </w:rPr>
      </w:pPr>
      <w:r w:rsidRPr="00EE6BDC">
        <w:rPr>
          <w:color w:val="800080" w:themeColor="accent3"/>
        </w:rPr>
        <w:t>On-Ramp Acceleration Lane and Off-Ramp Deceleration Lane</w:t>
      </w:r>
    </w:p>
    <w:p w14:paraId="21639808" w14:textId="4A681BD2" w:rsidR="00EE6BDC" w:rsidRPr="00EE6BDC" w:rsidRDefault="00EE6BDC" w:rsidP="00EE6BDC">
      <w:pPr>
        <w:rPr>
          <w:color w:val="800080" w:themeColor="accent3"/>
        </w:rPr>
      </w:pPr>
      <w:r w:rsidRPr="00EE6BDC">
        <w:rPr>
          <w:color w:val="800080" w:themeColor="accent3"/>
        </w:rPr>
        <w:t xml:space="preserve">Both alternatives include acceleration and deceleration lanes to improve traffic operations and meet Caltrans ramp metering requirements.  From the ramp convergence point, the westbound Roadway </w:t>
      </w:r>
      <w:proofErr w:type="spellStart"/>
      <w:r w:rsidRPr="00EE6BDC">
        <w:rPr>
          <w:color w:val="800080" w:themeColor="accent3"/>
        </w:rPr>
        <w:t>A</w:t>
      </w:r>
      <w:proofErr w:type="spellEnd"/>
      <w:r w:rsidRPr="00EE6BDC">
        <w:rPr>
          <w:color w:val="800080" w:themeColor="accent3"/>
        </w:rPr>
        <w:t xml:space="preserve"> on-ramp acceleration lane is 1,000</w:t>
      </w:r>
      <w:r w:rsidR="00490C96">
        <w:rPr>
          <w:color w:val="800080" w:themeColor="accent3"/>
        </w:rPr>
        <w:t xml:space="preserve"> </w:t>
      </w:r>
      <w:r w:rsidRPr="00EE6BDC">
        <w:rPr>
          <w:color w:val="800080" w:themeColor="accent3"/>
        </w:rPr>
        <w:t xml:space="preserve">feet long along I-400.  From the ramp convergence point, the eastbound Roadway </w:t>
      </w:r>
      <w:proofErr w:type="spellStart"/>
      <w:r w:rsidRPr="00EE6BDC">
        <w:rPr>
          <w:color w:val="800080" w:themeColor="accent3"/>
        </w:rPr>
        <w:t>A</w:t>
      </w:r>
      <w:proofErr w:type="spellEnd"/>
      <w:r w:rsidRPr="00EE6BDC">
        <w:rPr>
          <w:color w:val="800080" w:themeColor="accent3"/>
        </w:rPr>
        <w:t xml:space="preserve"> on-ramp acceleration lane is 300</w:t>
      </w:r>
      <w:r w:rsidR="00490C96">
        <w:rPr>
          <w:color w:val="800080" w:themeColor="accent3"/>
        </w:rPr>
        <w:t xml:space="preserve"> </w:t>
      </w:r>
      <w:r w:rsidRPr="00EE6BDC">
        <w:rPr>
          <w:color w:val="800080" w:themeColor="accent3"/>
        </w:rPr>
        <w:t>feet long along I-400.  In advance of the westbound Roadway A off-ramp divergence point, the deceleration lane is 1,300</w:t>
      </w:r>
      <w:r w:rsidR="00490C96">
        <w:rPr>
          <w:color w:val="800080" w:themeColor="accent3"/>
        </w:rPr>
        <w:t xml:space="preserve"> </w:t>
      </w:r>
      <w:r w:rsidRPr="00EE6BDC">
        <w:rPr>
          <w:color w:val="800080" w:themeColor="accent3"/>
        </w:rPr>
        <w:t>feet long along I-400.</w:t>
      </w:r>
    </w:p>
    <w:p w14:paraId="4DBA5F1E" w14:textId="3D4155C3" w:rsidR="00EE6BDC" w:rsidRPr="00EE6BDC" w:rsidRDefault="00EE6BDC" w:rsidP="005B50EE">
      <w:pPr>
        <w:pStyle w:val="Heading5"/>
        <w:rPr>
          <w:color w:val="800080" w:themeColor="accent3"/>
        </w:rPr>
      </w:pPr>
      <w:r w:rsidRPr="00EE6BDC">
        <w:rPr>
          <w:color w:val="800080" w:themeColor="accent3"/>
        </w:rPr>
        <w:lastRenderedPageBreak/>
        <w:t>Ramp Metering</w:t>
      </w:r>
    </w:p>
    <w:p w14:paraId="0086D7A3" w14:textId="67D2CFD1" w:rsidR="00EE6BDC" w:rsidRPr="00EE6BDC" w:rsidRDefault="00EE6BDC" w:rsidP="00EE6BDC">
      <w:pPr>
        <w:rPr>
          <w:color w:val="800080" w:themeColor="accent3"/>
        </w:rPr>
      </w:pPr>
      <w:r w:rsidRPr="00EE6BDC">
        <w:rPr>
          <w:color w:val="800080" w:themeColor="accent3"/>
        </w:rPr>
        <w:t>Under both alternatives, the I-400 westbound on-ramp is planned for ramp metering without a High Occupancy Vehicle Preferential Lane.  Both the I-400 westbound and eastbound on-ramps are designed with two general purpose lanes to not preclude future ramp metering.</w:t>
      </w:r>
    </w:p>
    <w:p w14:paraId="1D222078" w14:textId="32358D15" w:rsidR="00EE6BDC" w:rsidRPr="00EE6BDC" w:rsidRDefault="00EE6BDC" w:rsidP="005B50EE">
      <w:pPr>
        <w:pStyle w:val="Heading5"/>
        <w:rPr>
          <w:color w:val="800080" w:themeColor="accent3"/>
        </w:rPr>
      </w:pPr>
      <w:r w:rsidRPr="00EE6BDC">
        <w:rPr>
          <w:color w:val="800080" w:themeColor="accent3"/>
        </w:rPr>
        <w:t xml:space="preserve">Utility Impacts </w:t>
      </w:r>
    </w:p>
    <w:p w14:paraId="536AF22F" w14:textId="619E7D0A" w:rsidR="00EE6BDC" w:rsidRPr="00EE6BDC" w:rsidRDefault="00EE6BDC" w:rsidP="00EE6BDC">
      <w:pPr>
        <w:rPr>
          <w:color w:val="800080" w:themeColor="accent3"/>
        </w:rPr>
      </w:pPr>
      <w:r w:rsidRPr="00EE6BDC">
        <w:rPr>
          <w:color w:val="800080" w:themeColor="accent3"/>
        </w:rPr>
        <w:t>Utilities anticipated to be impacted from widening Roadway A include relocating two high-pressure gas lines</w:t>
      </w:r>
      <w:r w:rsidR="00490C96">
        <w:rPr>
          <w:color w:val="800080" w:themeColor="accent3"/>
        </w:rPr>
        <w:t>,</w:t>
      </w:r>
      <w:r w:rsidRPr="00EE6BDC">
        <w:rPr>
          <w:color w:val="800080" w:themeColor="accent3"/>
        </w:rPr>
        <w:t xml:space="preserve"> adjusting two manhole structures to grade</w:t>
      </w:r>
      <w:r w:rsidR="00490C96">
        <w:rPr>
          <w:color w:val="800080" w:themeColor="accent3"/>
        </w:rPr>
        <w:t>,</w:t>
      </w:r>
      <w:r w:rsidRPr="00EE6BDC">
        <w:rPr>
          <w:color w:val="800080" w:themeColor="accent3"/>
        </w:rPr>
        <w:t xml:space="preserve"> relocating underground electric distribution lines</w:t>
      </w:r>
      <w:r w:rsidR="00490C96">
        <w:rPr>
          <w:color w:val="800080" w:themeColor="accent3"/>
        </w:rPr>
        <w:t>,</w:t>
      </w:r>
      <w:r w:rsidRPr="00EE6BDC">
        <w:rPr>
          <w:color w:val="800080" w:themeColor="accent3"/>
        </w:rPr>
        <w:t xml:space="preserve"> and relocating a 12-inch-diameter water line.</w:t>
      </w:r>
    </w:p>
    <w:p w14:paraId="6C48A8D4" w14:textId="45119967" w:rsidR="00EE6BDC" w:rsidRPr="00EE6BDC" w:rsidRDefault="00EE6BDC" w:rsidP="005B50EE">
      <w:pPr>
        <w:pStyle w:val="Heading5"/>
        <w:rPr>
          <w:color w:val="800080" w:themeColor="accent3"/>
        </w:rPr>
      </w:pPr>
      <w:r w:rsidRPr="00EE6BDC">
        <w:rPr>
          <w:color w:val="800080" w:themeColor="accent3"/>
        </w:rPr>
        <w:t xml:space="preserve">Geotechnical Considerations </w:t>
      </w:r>
    </w:p>
    <w:p w14:paraId="12D650DE" w14:textId="549C2F89" w:rsidR="00EE6BDC" w:rsidRDefault="00EE6BDC" w:rsidP="00EE6BDC">
      <w:pPr>
        <w:rPr>
          <w:color w:val="800080" w:themeColor="accent3"/>
        </w:rPr>
      </w:pPr>
      <w:r w:rsidRPr="00EE6BDC">
        <w:rPr>
          <w:color w:val="800080" w:themeColor="accent3"/>
        </w:rPr>
        <w:t>Geotechnical investigations would be required during final design of the I-400 overcrossing and Water Bridge interchange improvements.  It is anticipated that approximately 50 borings would be required during final design.  Infiltration basins are proposed in the undeveloped areas between the on- and off-ramps and I-400.</w:t>
      </w:r>
    </w:p>
    <w:p w14:paraId="034A28A4" w14:textId="20095290" w:rsidR="00262213" w:rsidRPr="00EE6BDC" w:rsidRDefault="00262213" w:rsidP="00262213">
      <w:pPr>
        <w:pStyle w:val="Heading5"/>
        <w:rPr>
          <w:color w:val="800080" w:themeColor="accent3"/>
        </w:rPr>
      </w:pPr>
      <w:r>
        <w:rPr>
          <w:color w:val="800080" w:themeColor="accent3"/>
        </w:rPr>
        <w:t xml:space="preserve">Construction </w:t>
      </w:r>
    </w:p>
    <w:p w14:paraId="6DA56F00" w14:textId="51CEB865" w:rsidR="00262213" w:rsidRPr="00EE6BDC" w:rsidRDefault="00262213" w:rsidP="00EE6BDC">
      <w:pPr>
        <w:rPr>
          <w:color w:val="800080" w:themeColor="accent3"/>
        </w:rPr>
      </w:pPr>
      <w:r w:rsidRPr="00262213">
        <w:rPr>
          <w:color w:val="800080" w:themeColor="accent3"/>
        </w:rPr>
        <w:t xml:space="preserve">Construction of </w:t>
      </w:r>
      <w:r>
        <w:rPr>
          <w:color w:val="800080" w:themeColor="accent3"/>
        </w:rPr>
        <w:t xml:space="preserve">either </w:t>
      </w:r>
      <w:r w:rsidR="005B50EE">
        <w:rPr>
          <w:color w:val="800080" w:themeColor="accent3"/>
        </w:rPr>
        <w:t>b</w:t>
      </w:r>
      <w:r>
        <w:rPr>
          <w:color w:val="800080" w:themeColor="accent3"/>
        </w:rPr>
        <w:t xml:space="preserve">uild </w:t>
      </w:r>
      <w:r w:rsidR="005B50EE">
        <w:rPr>
          <w:color w:val="800080" w:themeColor="accent3"/>
        </w:rPr>
        <w:t>a</w:t>
      </w:r>
      <w:r>
        <w:rPr>
          <w:color w:val="800080" w:themeColor="accent3"/>
        </w:rPr>
        <w:t>lternative would start</w:t>
      </w:r>
      <w:r w:rsidRPr="00262213">
        <w:rPr>
          <w:color w:val="800080" w:themeColor="accent3"/>
        </w:rPr>
        <w:t xml:space="preserve"> in </w:t>
      </w:r>
      <w:r>
        <w:rPr>
          <w:color w:val="800080" w:themeColor="accent3"/>
        </w:rPr>
        <w:t>2023</w:t>
      </w:r>
      <w:r w:rsidRPr="00262213">
        <w:rPr>
          <w:color w:val="800080" w:themeColor="accent3"/>
        </w:rPr>
        <w:t xml:space="preserve"> and be completed by </w:t>
      </w:r>
      <w:r>
        <w:rPr>
          <w:color w:val="800080" w:themeColor="accent3"/>
        </w:rPr>
        <w:t>2024</w:t>
      </w:r>
      <w:r w:rsidRPr="00262213">
        <w:rPr>
          <w:color w:val="800080" w:themeColor="accent3"/>
        </w:rPr>
        <w:t xml:space="preserve">. </w:t>
      </w:r>
      <w:r>
        <w:rPr>
          <w:color w:val="800080" w:themeColor="accent3"/>
        </w:rPr>
        <w:t xml:space="preserve"> </w:t>
      </w:r>
      <w:r w:rsidRPr="00262213">
        <w:rPr>
          <w:color w:val="800080" w:themeColor="accent3"/>
        </w:rPr>
        <w:t xml:space="preserve">Construction </w:t>
      </w:r>
      <w:bookmarkStart w:id="51" w:name="_Hlk2000744"/>
      <w:r w:rsidRPr="00262213">
        <w:rPr>
          <w:color w:val="800080" w:themeColor="accent3"/>
        </w:rPr>
        <w:t xml:space="preserve">is planned to last approximately </w:t>
      </w:r>
      <w:r w:rsidR="007C79D3">
        <w:rPr>
          <w:color w:val="800080" w:themeColor="accent3"/>
        </w:rPr>
        <w:t>18</w:t>
      </w:r>
      <w:r w:rsidRPr="00262213">
        <w:rPr>
          <w:color w:val="800080" w:themeColor="accent3"/>
        </w:rPr>
        <w:t xml:space="preserve"> months</w:t>
      </w:r>
      <w:bookmarkEnd w:id="51"/>
      <w:r>
        <w:rPr>
          <w:color w:val="800080" w:themeColor="accent3"/>
        </w:rPr>
        <w:t>.</w:t>
      </w:r>
      <w:r w:rsidR="00F56C3C">
        <w:rPr>
          <w:color w:val="800080" w:themeColor="accent3"/>
        </w:rPr>
        <w:t xml:space="preserve">  </w:t>
      </w:r>
      <w:r w:rsidR="00F56C3C" w:rsidRPr="005B0F4B">
        <w:rPr>
          <w:b/>
          <w:bCs/>
          <w:color w:val="0000FF" w:themeColor="accent1"/>
        </w:rPr>
        <w:t xml:space="preserve">[End </w:t>
      </w:r>
      <w:r w:rsidR="00F56C3C">
        <w:rPr>
          <w:b/>
          <w:bCs/>
          <w:color w:val="0000FF" w:themeColor="accent1"/>
        </w:rPr>
        <w:t>example</w:t>
      </w:r>
      <w:r w:rsidR="00F56C3C" w:rsidRPr="005B0F4B">
        <w:rPr>
          <w:b/>
          <w:bCs/>
          <w:color w:val="0000FF" w:themeColor="accent1"/>
        </w:rPr>
        <w:t>]</w:t>
      </w:r>
    </w:p>
    <w:p w14:paraId="7771AF99" w14:textId="716AC772" w:rsidR="00EE6BDC" w:rsidRDefault="00EE6BDC" w:rsidP="00EE6BD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15D2EC" w14:textId="12A62781" w:rsidR="007C79D3" w:rsidRDefault="007C79D3" w:rsidP="007C79D3">
      <w:pPr>
        <w:pStyle w:val="Heading4"/>
      </w:pPr>
      <w:r>
        <w:t>Energy-Saving Project Design Features</w:t>
      </w:r>
    </w:p>
    <w:p w14:paraId="0F0A1395" w14:textId="335A6EFA" w:rsidR="00CD1D95" w:rsidRDefault="00CD1D95" w:rsidP="00CD1D95">
      <w:pPr>
        <w:rPr>
          <w:color w:val="0000FF" w:themeColor="accent1"/>
        </w:rPr>
      </w:pPr>
      <w:r>
        <w:rPr>
          <w:color w:val="0000FF" w:themeColor="accent1"/>
        </w:rPr>
        <w:t>The following is an example description of energy-saving project design features.</w:t>
      </w:r>
    </w:p>
    <w:p w14:paraId="48A16E44" w14:textId="7CED0CDB" w:rsidR="0084543F" w:rsidRDefault="0084543F" w:rsidP="007C79D3">
      <w:pPr>
        <w:rPr>
          <w:color w:val="800080" w:themeColor="accent3"/>
        </w:rPr>
      </w:pPr>
      <w:r>
        <w:rPr>
          <w:color w:val="800080" w:themeColor="accent3"/>
        </w:rPr>
        <w:t>The following features have been incorporated in</w:t>
      </w:r>
      <w:r w:rsidR="00765CC1">
        <w:rPr>
          <w:color w:val="800080" w:themeColor="accent3"/>
        </w:rPr>
        <w:t>to</w:t>
      </w:r>
      <w:r>
        <w:rPr>
          <w:color w:val="800080" w:themeColor="accent3"/>
        </w:rPr>
        <w:t xml:space="preserve"> the design of the build alternatives and will achieve construction or operational energy savings, as discussed further in Chapter 4, </w:t>
      </w:r>
      <w:r w:rsidRPr="00472599">
        <w:rPr>
          <w:i/>
          <w:iCs/>
          <w:color w:val="800080" w:themeColor="accent3"/>
        </w:rPr>
        <w:t>Environmental Consequences</w:t>
      </w:r>
      <w:r>
        <w:rPr>
          <w:color w:val="800080" w:themeColor="accent3"/>
        </w:rPr>
        <w:t xml:space="preserve">. </w:t>
      </w:r>
    </w:p>
    <w:p w14:paraId="49067AB9" w14:textId="1226721A" w:rsidR="0084543F" w:rsidRDefault="0084543F" w:rsidP="007C79D3">
      <w:pPr>
        <w:pStyle w:val="ListParagraph"/>
        <w:numPr>
          <w:ilvl w:val="0"/>
          <w:numId w:val="39"/>
        </w:numPr>
        <w:rPr>
          <w:color w:val="800080" w:themeColor="accent3"/>
        </w:rPr>
      </w:pPr>
      <w:r w:rsidRPr="00C51274">
        <w:rPr>
          <w:color w:val="800080" w:themeColor="accent3"/>
        </w:rPr>
        <w:t xml:space="preserve">A </w:t>
      </w:r>
      <w:r>
        <w:rPr>
          <w:color w:val="800080" w:themeColor="accent3"/>
        </w:rPr>
        <w:t>T</w:t>
      </w:r>
      <w:r w:rsidRPr="00C51274">
        <w:rPr>
          <w:color w:val="800080" w:themeColor="accent3"/>
        </w:rPr>
        <w:t xml:space="preserve">ransportation </w:t>
      </w:r>
      <w:r>
        <w:rPr>
          <w:color w:val="800080" w:themeColor="accent3"/>
        </w:rPr>
        <w:t>M</w:t>
      </w:r>
      <w:r w:rsidRPr="00C51274">
        <w:rPr>
          <w:color w:val="800080" w:themeColor="accent3"/>
        </w:rPr>
        <w:t xml:space="preserve">anagement </w:t>
      </w:r>
      <w:r>
        <w:rPr>
          <w:color w:val="800080" w:themeColor="accent3"/>
        </w:rPr>
        <w:t>P</w:t>
      </w:r>
      <w:r w:rsidRPr="00C51274">
        <w:rPr>
          <w:color w:val="800080" w:themeColor="accent3"/>
        </w:rPr>
        <w:t>lan (</w:t>
      </w:r>
      <w:proofErr w:type="spellStart"/>
      <w:r w:rsidRPr="00C51274">
        <w:rPr>
          <w:color w:val="800080" w:themeColor="accent3"/>
        </w:rPr>
        <w:t>TMP</w:t>
      </w:r>
      <w:proofErr w:type="spellEnd"/>
      <w:r w:rsidRPr="00C51274">
        <w:rPr>
          <w:color w:val="800080" w:themeColor="accent3"/>
        </w:rPr>
        <w:t xml:space="preserve">) would be developed and implemented </w:t>
      </w:r>
      <w:r>
        <w:rPr>
          <w:color w:val="800080" w:themeColor="accent3"/>
        </w:rPr>
        <w:t xml:space="preserve">during construction. </w:t>
      </w:r>
      <w:r w:rsidRPr="00C51274">
        <w:rPr>
          <w:color w:val="800080" w:themeColor="accent3"/>
        </w:rPr>
        <w:t xml:space="preserve"> An effective </w:t>
      </w:r>
      <w:proofErr w:type="spellStart"/>
      <w:r w:rsidRPr="00C51274">
        <w:rPr>
          <w:color w:val="800080" w:themeColor="accent3"/>
        </w:rPr>
        <w:t>TMP</w:t>
      </w:r>
      <w:proofErr w:type="spellEnd"/>
      <w:r w:rsidRPr="00C51274">
        <w:rPr>
          <w:color w:val="800080" w:themeColor="accent3"/>
        </w:rPr>
        <w:t xml:space="preserve"> would reduce gasoline consumption by limiting traffic congestion and reducing the length of detours</w:t>
      </w:r>
      <w:r>
        <w:rPr>
          <w:color w:val="800080" w:themeColor="accent3"/>
        </w:rPr>
        <w:t>.</w:t>
      </w:r>
    </w:p>
    <w:p w14:paraId="4115FDEA" w14:textId="03EC5B2C" w:rsidR="0084543F" w:rsidRPr="00411B55" w:rsidRDefault="00CD51B8" w:rsidP="007C79D3">
      <w:pPr>
        <w:pStyle w:val="ListParagraph"/>
        <w:numPr>
          <w:ilvl w:val="0"/>
          <w:numId w:val="39"/>
        </w:numPr>
        <w:rPr>
          <w:color w:val="800080" w:themeColor="accent3"/>
        </w:rPr>
      </w:pPr>
      <w:r>
        <w:rPr>
          <w:color w:val="800080" w:themeColor="accent3"/>
        </w:rPr>
        <w:t>C</w:t>
      </w:r>
      <w:r w:rsidRPr="00C51274">
        <w:rPr>
          <w:color w:val="800080" w:themeColor="accent3"/>
        </w:rPr>
        <w:t>onstruction contractor</w:t>
      </w:r>
      <w:r>
        <w:rPr>
          <w:color w:val="800080" w:themeColor="accent3"/>
        </w:rPr>
        <w:t xml:space="preserve">s would implement the following </w:t>
      </w:r>
      <w:r w:rsidR="002E2808">
        <w:rPr>
          <w:color w:val="800080" w:themeColor="accent3"/>
        </w:rPr>
        <w:t>Standard Specifications</w:t>
      </w:r>
      <w:r>
        <w:rPr>
          <w:color w:val="800080" w:themeColor="accent3"/>
        </w:rPr>
        <w:t xml:space="preserve"> </w:t>
      </w:r>
      <w:r w:rsidR="00463614">
        <w:rPr>
          <w:color w:val="800080" w:themeColor="accent3"/>
        </w:rPr>
        <w:t>6-1.03</w:t>
      </w:r>
      <w:r w:rsidR="000B3331">
        <w:rPr>
          <w:color w:val="800080" w:themeColor="accent3"/>
        </w:rPr>
        <w:t xml:space="preserve">, </w:t>
      </w:r>
      <w:r w:rsidR="00463614" w:rsidRPr="00411B55">
        <w:rPr>
          <w:color w:val="800080" w:themeColor="accent3"/>
        </w:rPr>
        <w:t>14-9</w:t>
      </w:r>
      <w:r w:rsidR="000B3331" w:rsidRPr="00411B55">
        <w:rPr>
          <w:color w:val="800080" w:themeColor="accent3"/>
        </w:rPr>
        <w:t>, and 14-10</w:t>
      </w:r>
      <w:r w:rsidR="00463614" w:rsidRPr="00411B55">
        <w:rPr>
          <w:color w:val="800080" w:themeColor="accent3"/>
        </w:rPr>
        <w:t xml:space="preserve"> </w:t>
      </w:r>
      <w:r w:rsidRPr="00411B55">
        <w:rPr>
          <w:color w:val="800080" w:themeColor="accent3"/>
        </w:rPr>
        <w:t>to reduce fossil fuel consumption.</w:t>
      </w:r>
    </w:p>
    <w:p w14:paraId="205D2DA9" w14:textId="186FBF74" w:rsidR="000374AC" w:rsidRPr="00411B55" w:rsidRDefault="000374AC" w:rsidP="00472599">
      <w:pPr>
        <w:numPr>
          <w:ilvl w:val="1"/>
          <w:numId w:val="39"/>
        </w:numPr>
        <w:rPr>
          <w:color w:val="800080" w:themeColor="accent3"/>
        </w:rPr>
      </w:pPr>
      <w:r w:rsidRPr="00411B55">
        <w:rPr>
          <w:color w:val="800080" w:themeColor="accent3"/>
        </w:rPr>
        <w:t>6-1.03</w:t>
      </w:r>
      <w:r w:rsidR="00873591" w:rsidRPr="00411B55">
        <w:rPr>
          <w:color w:val="800080" w:themeColor="accent3"/>
        </w:rPr>
        <w:t>,</w:t>
      </w:r>
      <w:r w:rsidR="00137212" w:rsidRPr="00411B55">
        <w:rPr>
          <w:color w:val="800080" w:themeColor="accent3"/>
        </w:rPr>
        <w:t xml:space="preserve"> Local Materials, requires </w:t>
      </w:r>
      <w:r w:rsidR="00411B55" w:rsidRPr="00411B55">
        <w:rPr>
          <w:color w:val="800080" w:themeColor="accent3"/>
        </w:rPr>
        <w:t>certain local construction materials be obtained or produced from a source in the work vici</w:t>
      </w:r>
      <w:r w:rsidR="00D17483">
        <w:rPr>
          <w:color w:val="800080" w:themeColor="accent3"/>
        </w:rPr>
        <w:t>ni</w:t>
      </w:r>
      <w:r w:rsidR="00411B55" w:rsidRPr="00411B55">
        <w:rPr>
          <w:color w:val="800080" w:themeColor="accent3"/>
        </w:rPr>
        <w:t>ty.  Sourcing local materials reduces transport vehicle travel and associated energy consumption.</w:t>
      </w:r>
      <w:r w:rsidR="00137212" w:rsidRPr="00411B55">
        <w:rPr>
          <w:color w:val="800080" w:themeColor="accent3"/>
        </w:rPr>
        <w:t xml:space="preserve"> </w:t>
      </w:r>
      <w:r w:rsidR="00873591" w:rsidRPr="00411B55">
        <w:rPr>
          <w:color w:val="800080" w:themeColor="accent3"/>
        </w:rPr>
        <w:t xml:space="preserve"> </w:t>
      </w:r>
    </w:p>
    <w:p w14:paraId="72572643" w14:textId="773E12C3" w:rsidR="008A36D4" w:rsidRPr="00411B55" w:rsidRDefault="000374AC" w:rsidP="000374AC">
      <w:pPr>
        <w:numPr>
          <w:ilvl w:val="1"/>
          <w:numId w:val="39"/>
        </w:numPr>
        <w:rPr>
          <w:color w:val="800080" w:themeColor="accent3"/>
        </w:rPr>
      </w:pPr>
      <w:r w:rsidRPr="00411B55">
        <w:rPr>
          <w:color w:val="800080" w:themeColor="accent3"/>
        </w:rPr>
        <w:t>14-9</w:t>
      </w:r>
      <w:r w:rsidR="000143CF" w:rsidRPr="00411B55">
        <w:rPr>
          <w:color w:val="800080" w:themeColor="accent3"/>
        </w:rPr>
        <w:t xml:space="preserve">, Air </w:t>
      </w:r>
      <w:r w:rsidR="006C5441">
        <w:rPr>
          <w:color w:val="800080" w:themeColor="accent3"/>
        </w:rPr>
        <w:t>Quality</w:t>
      </w:r>
      <w:r w:rsidR="000143CF" w:rsidRPr="00411B55">
        <w:rPr>
          <w:color w:val="800080" w:themeColor="accent3"/>
        </w:rPr>
        <w:t xml:space="preserve">, requires compliance with local </w:t>
      </w:r>
      <w:r w:rsidR="00490C96">
        <w:rPr>
          <w:color w:val="800080" w:themeColor="accent3"/>
        </w:rPr>
        <w:t xml:space="preserve">air </w:t>
      </w:r>
      <w:r w:rsidR="000143CF" w:rsidRPr="00411B55">
        <w:rPr>
          <w:color w:val="800080" w:themeColor="accent3"/>
        </w:rPr>
        <w:t>district rules and regulations.  Compliance with certain air</w:t>
      </w:r>
      <w:r w:rsidR="007A6D5C" w:rsidRPr="00411B55">
        <w:rPr>
          <w:color w:val="800080" w:themeColor="accent3"/>
        </w:rPr>
        <w:t xml:space="preserve"> district rules may reduce equipment or vehicle fuel consumption. </w:t>
      </w:r>
      <w:r w:rsidR="000143CF" w:rsidRPr="00411B55">
        <w:rPr>
          <w:color w:val="800080" w:themeColor="accent3"/>
        </w:rPr>
        <w:t xml:space="preserve"> </w:t>
      </w:r>
    </w:p>
    <w:p w14:paraId="53D2122C" w14:textId="182FC685" w:rsidR="0084543F" w:rsidRPr="00C51274" w:rsidRDefault="008A36D4" w:rsidP="000374AC">
      <w:pPr>
        <w:numPr>
          <w:ilvl w:val="1"/>
          <w:numId w:val="39"/>
        </w:numPr>
        <w:rPr>
          <w:color w:val="800080" w:themeColor="accent3"/>
        </w:rPr>
      </w:pPr>
      <w:r w:rsidRPr="00411B55">
        <w:rPr>
          <w:color w:val="800080" w:themeColor="accent3"/>
        </w:rPr>
        <w:lastRenderedPageBreak/>
        <w:t>14-10</w:t>
      </w:r>
      <w:r w:rsidR="00754395" w:rsidRPr="00411B55">
        <w:rPr>
          <w:color w:val="800080" w:themeColor="accent3"/>
        </w:rPr>
        <w:t xml:space="preserve">, Solid Waste Disposal and Recycling, requires, among other things, </w:t>
      </w:r>
      <w:r w:rsidR="00213C11" w:rsidRPr="00411B55">
        <w:rPr>
          <w:color w:val="800080" w:themeColor="accent3"/>
        </w:rPr>
        <w:t xml:space="preserve">recycling </w:t>
      </w:r>
      <w:r w:rsidR="001B702A" w:rsidRPr="00411B55">
        <w:rPr>
          <w:color w:val="800080" w:themeColor="accent3"/>
        </w:rPr>
        <w:t xml:space="preserve">and reusing </w:t>
      </w:r>
      <w:r w:rsidR="000C3278">
        <w:rPr>
          <w:color w:val="800080" w:themeColor="accent3"/>
        </w:rPr>
        <w:t xml:space="preserve">nonhazardous </w:t>
      </w:r>
      <w:r w:rsidR="00213C11" w:rsidRPr="00411B55">
        <w:rPr>
          <w:color w:val="800080" w:themeColor="accent3"/>
        </w:rPr>
        <w:t>waste</w:t>
      </w:r>
      <w:r w:rsidR="001B702A" w:rsidRPr="00411B55">
        <w:rPr>
          <w:color w:val="800080" w:themeColor="accent3"/>
        </w:rPr>
        <w:t xml:space="preserve"> and </w:t>
      </w:r>
      <w:r w:rsidR="00A73E1E">
        <w:rPr>
          <w:color w:val="800080" w:themeColor="accent3"/>
        </w:rPr>
        <w:t xml:space="preserve">excess </w:t>
      </w:r>
      <w:r w:rsidR="001B702A" w:rsidRPr="00411B55">
        <w:rPr>
          <w:color w:val="800080" w:themeColor="accent3"/>
        </w:rPr>
        <w:t>materials, where</w:t>
      </w:r>
      <w:r w:rsidR="000C3278">
        <w:rPr>
          <w:color w:val="800080" w:themeColor="accent3"/>
        </w:rPr>
        <w:t xml:space="preserve"> practicable</w:t>
      </w:r>
      <w:r w:rsidR="00213C11" w:rsidRPr="00411B55">
        <w:rPr>
          <w:color w:val="800080" w:themeColor="accent3"/>
        </w:rPr>
        <w:t>.</w:t>
      </w:r>
      <w:r w:rsidR="001B702A" w:rsidRPr="00411B55">
        <w:rPr>
          <w:color w:val="800080" w:themeColor="accent3"/>
        </w:rPr>
        <w:t xml:space="preserve">  Recycling and reusing material reduces consumption of native resources </w:t>
      </w:r>
      <w:r w:rsidR="00092190" w:rsidRPr="00411B55">
        <w:rPr>
          <w:color w:val="800080" w:themeColor="accent3"/>
        </w:rPr>
        <w:t xml:space="preserve">and </w:t>
      </w:r>
      <w:r w:rsidR="00AC155E" w:rsidRPr="00411B55">
        <w:rPr>
          <w:color w:val="800080" w:themeColor="accent3"/>
        </w:rPr>
        <w:t>may</w:t>
      </w:r>
      <w:r w:rsidR="00092190" w:rsidRPr="00411B55">
        <w:rPr>
          <w:color w:val="800080" w:themeColor="accent3"/>
        </w:rPr>
        <w:t xml:space="preserve"> reduce energy</w:t>
      </w:r>
      <w:r w:rsidR="00AC155E" w:rsidRPr="00411B55">
        <w:rPr>
          <w:color w:val="800080" w:themeColor="accent3"/>
        </w:rPr>
        <w:t xml:space="preserve"> consumption from material production and transport</w:t>
      </w:r>
      <w:r w:rsidR="00F94684" w:rsidRPr="00411B55">
        <w:rPr>
          <w:color w:val="800080" w:themeColor="accent3"/>
        </w:rPr>
        <w:t>.</w:t>
      </w:r>
      <w:r w:rsidR="00F94684">
        <w:rPr>
          <w:color w:val="800080" w:themeColor="accent3"/>
        </w:rPr>
        <w:t xml:space="preserve">  </w:t>
      </w:r>
    </w:p>
    <w:p w14:paraId="24A2890B" w14:textId="19F83A50" w:rsidR="0084543F" w:rsidRDefault="005B50EE" w:rsidP="007C79D3">
      <w:pPr>
        <w:pStyle w:val="ListParagraph"/>
        <w:numPr>
          <w:ilvl w:val="0"/>
          <w:numId w:val="39"/>
        </w:numPr>
        <w:rPr>
          <w:color w:val="800080" w:themeColor="accent3"/>
        </w:rPr>
      </w:pPr>
      <w:r w:rsidRPr="00472599">
        <w:rPr>
          <w:color w:val="800080" w:themeColor="accent3"/>
        </w:rPr>
        <w:t xml:space="preserve">New </w:t>
      </w:r>
      <w:r w:rsidR="000374AC">
        <w:rPr>
          <w:color w:val="800080" w:themeColor="accent3"/>
        </w:rPr>
        <w:t>bike lanes</w:t>
      </w:r>
      <w:r w:rsidRPr="00472599">
        <w:rPr>
          <w:color w:val="800080" w:themeColor="accent3"/>
        </w:rPr>
        <w:t xml:space="preserve"> would be constructed to improve connections within neighborhoods and to the Central Business District.  Pedestrian facilities would also be upgraded, and new sidewalks would be installed to close existing gaps and meet Americans with Disabilities Act (ADA) compliance standards.  These project design features </w:t>
      </w:r>
      <w:r w:rsidR="00311F7C">
        <w:rPr>
          <w:color w:val="800080" w:themeColor="accent3"/>
        </w:rPr>
        <w:t>are expected to</w:t>
      </w:r>
      <w:r w:rsidRPr="00472599">
        <w:rPr>
          <w:color w:val="800080" w:themeColor="accent3"/>
        </w:rPr>
        <w:t xml:space="preserve"> reduce energy consumption by encouraging mode shift from single occupancy vehicles to walking and bicycling.  </w:t>
      </w:r>
    </w:p>
    <w:p w14:paraId="165B3D06" w14:textId="77777777" w:rsidR="0084543F" w:rsidRDefault="0084543F" w:rsidP="005B50EE">
      <w:pPr>
        <w:pStyle w:val="ListParagraph"/>
        <w:numPr>
          <w:ilvl w:val="0"/>
          <w:numId w:val="39"/>
        </w:numPr>
        <w:rPr>
          <w:color w:val="800080" w:themeColor="accent3"/>
        </w:rPr>
      </w:pPr>
      <w:r>
        <w:rPr>
          <w:color w:val="800080" w:themeColor="accent3"/>
        </w:rPr>
        <w:t xml:space="preserve">New traffic </w:t>
      </w:r>
      <w:r w:rsidR="005B50EE" w:rsidRPr="00472599">
        <w:rPr>
          <w:color w:val="800080" w:themeColor="accent3"/>
        </w:rPr>
        <w:t>signals would be coordinated to promote the efficient flow of traffic, resulting in a more efficient use of direct energy</w:t>
      </w:r>
      <w:r>
        <w:rPr>
          <w:color w:val="800080" w:themeColor="accent3"/>
        </w:rPr>
        <w:t>.</w:t>
      </w:r>
    </w:p>
    <w:p w14:paraId="2169BFC0" w14:textId="00AE8482" w:rsidR="0084543F" w:rsidRPr="00472599" w:rsidRDefault="005B50EE" w:rsidP="00472599">
      <w:pPr>
        <w:pStyle w:val="ListParagraph"/>
        <w:numPr>
          <w:ilvl w:val="0"/>
          <w:numId w:val="39"/>
        </w:numPr>
        <w:rPr>
          <w:color w:val="800080" w:themeColor="accent3"/>
        </w:rPr>
      </w:pPr>
      <w:r w:rsidRPr="00472599">
        <w:rPr>
          <w:color w:val="800080" w:themeColor="accent3"/>
        </w:rPr>
        <w:t>Light-emitting diode (LED) fixtures would be used wherever street</w:t>
      </w:r>
      <w:r w:rsidR="00B50860">
        <w:rPr>
          <w:color w:val="800080" w:themeColor="accent3"/>
        </w:rPr>
        <w:t xml:space="preserve"> </w:t>
      </w:r>
      <w:r w:rsidRPr="00472599">
        <w:rPr>
          <w:color w:val="800080" w:themeColor="accent3"/>
        </w:rPr>
        <w:t xml:space="preserve">lights </w:t>
      </w:r>
      <w:r w:rsidR="0084543F">
        <w:rPr>
          <w:color w:val="800080" w:themeColor="accent3"/>
        </w:rPr>
        <w:t xml:space="preserve">or traffic signals </w:t>
      </w:r>
      <w:r w:rsidRPr="00472599">
        <w:rPr>
          <w:color w:val="800080" w:themeColor="accent3"/>
        </w:rPr>
        <w:t>are installed or replaced</w:t>
      </w:r>
      <w:r w:rsidR="0084543F">
        <w:rPr>
          <w:color w:val="800080" w:themeColor="accent3"/>
        </w:rPr>
        <w:t>.</w:t>
      </w:r>
      <w:r w:rsidR="00F56C3C">
        <w:rPr>
          <w:color w:val="800080" w:themeColor="accent3"/>
        </w:rPr>
        <w:t xml:space="preserve">  </w:t>
      </w:r>
      <w:r w:rsidR="00F56C3C" w:rsidRPr="005B0F4B">
        <w:rPr>
          <w:b/>
          <w:bCs/>
          <w:color w:val="0000FF" w:themeColor="accent1"/>
        </w:rPr>
        <w:t xml:space="preserve">[End </w:t>
      </w:r>
      <w:r w:rsidR="00F56C3C">
        <w:rPr>
          <w:b/>
          <w:bCs/>
          <w:color w:val="0000FF" w:themeColor="accent1"/>
        </w:rPr>
        <w:t>example</w:t>
      </w:r>
      <w:r w:rsidR="00F56C3C" w:rsidRPr="005B0F4B">
        <w:rPr>
          <w:b/>
          <w:bCs/>
          <w:color w:val="0000FF" w:themeColor="accent1"/>
        </w:rPr>
        <w:t>]</w:t>
      </w:r>
    </w:p>
    <w:p w14:paraId="3A43A190" w14:textId="1A14B207" w:rsidR="007C79D3" w:rsidRDefault="007C79D3" w:rsidP="007C79D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6FE6AFF" w14:textId="77777777" w:rsidR="00B50860" w:rsidRDefault="00B50860" w:rsidP="007C79D3"/>
    <w:p w14:paraId="1A393D1C" w14:textId="77777777" w:rsidR="0099598E" w:rsidRDefault="0099598E"/>
    <w:p w14:paraId="00AC1E66" w14:textId="77777777" w:rsidR="0099598E" w:rsidRDefault="0099598E">
      <w:pPr>
        <w:sectPr w:rsidR="0099598E" w:rsidSect="00203664">
          <w:pgSz w:w="12240" w:h="15840"/>
          <w:pgMar w:top="1440" w:right="1440" w:bottom="1440" w:left="1440" w:header="720" w:footer="720" w:gutter="0"/>
          <w:pgNumType w:start="1"/>
          <w:cols w:space="720"/>
          <w:docGrid w:linePitch="360"/>
        </w:sectPr>
      </w:pPr>
    </w:p>
    <w:p w14:paraId="3EA604BC" w14:textId="316C88DC" w:rsidR="0099598E" w:rsidRDefault="0099598E" w:rsidP="0099598E">
      <w:pPr>
        <w:pStyle w:val="Heading1"/>
      </w:pPr>
      <w:bookmarkStart w:id="52" w:name="_Toc150334768"/>
      <w:bookmarkStart w:id="53" w:name="_Toc157429575"/>
      <w:r>
        <w:lastRenderedPageBreak/>
        <w:t>Regulatory Setting</w:t>
      </w:r>
      <w:bookmarkEnd w:id="52"/>
      <w:bookmarkEnd w:id="53"/>
      <w:r>
        <w:t xml:space="preserve"> </w:t>
      </w:r>
    </w:p>
    <w:p w14:paraId="70A1F74A" w14:textId="77777777" w:rsidR="00165AE1" w:rsidRDefault="00165AE1" w:rsidP="00165AE1">
      <w:pPr>
        <w:pStyle w:val="IntroGuidanceHeading1"/>
      </w:pPr>
      <w:r>
        <w:t>GUIDANCE</w:t>
      </w:r>
    </w:p>
    <w:p w14:paraId="4B1E9E0B" w14:textId="28CD9F46" w:rsidR="00165AE1" w:rsidRPr="00612793" w:rsidRDefault="006E759A" w:rsidP="00165AE1">
      <w:r>
        <w:rPr>
          <w:color w:val="0000FF" w:themeColor="accent1"/>
        </w:rPr>
        <w:t>The</w:t>
      </w:r>
      <w:r w:rsidR="00F610D3">
        <w:rPr>
          <w:color w:val="0000FF" w:themeColor="accent1"/>
        </w:rPr>
        <w:t xml:space="preserve"> </w:t>
      </w:r>
      <w:r w:rsidR="00F2428C" w:rsidRPr="006E759A">
        <w:rPr>
          <w:color w:val="0000FF" w:themeColor="accent1"/>
        </w:rPr>
        <w:t>Regulatory</w:t>
      </w:r>
      <w:r w:rsidR="00F610D3" w:rsidRPr="006E759A">
        <w:rPr>
          <w:color w:val="0000FF" w:themeColor="accent1"/>
        </w:rPr>
        <w:t xml:space="preserve"> Setting</w:t>
      </w:r>
      <w:r w:rsidR="00F610D3">
        <w:rPr>
          <w:color w:val="0000FF" w:themeColor="accent1"/>
        </w:rPr>
        <w:t xml:space="preserve"> describes</w:t>
      </w:r>
      <w:r w:rsidR="00F610D3" w:rsidRPr="00F610D3">
        <w:rPr>
          <w:color w:val="0000FF" w:themeColor="accent1"/>
        </w:rPr>
        <w:t xml:space="preserve"> applicable regulatory requirements that are relevant to </w:t>
      </w:r>
      <w:r>
        <w:rPr>
          <w:color w:val="0000FF" w:themeColor="accent1"/>
        </w:rPr>
        <w:t xml:space="preserve">energy resources and </w:t>
      </w:r>
      <w:r w:rsidR="00F610D3" w:rsidRPr="00F610D3">
        <w:rPr>
          <w:color w:val="0000FF" w:themeColor="accent1"/>
        </w:rPr>
        <w:t>the project</w:t>
      </w:r>
      <w:r w:rsidR="00D41864" w:rsidRPr="00F610D3">
        <w:rPr>
          <w:color w:val="0000FF" w:themeColor="accent1"/>
        </w:rPr>
        <w:t xml:space="preserve">.  </w:t>
      </w:r>
      <w:r w:rsidR="00F610D3">
        <w:rPr>
          <w:color w:val="0000FF" w:themeColor="accent1"/>
        </w:rPr>
        <w:t>B</w:t>
      </w:r>
      <w:r w:rsidR="00F610D3" w:rsidRPr="00F610D3">
        <w:rPr>
          <w:color w:val="0000FF" w:themeColor="accent1"/>
        </w:rPr>
        <w:t xml:space="preserve">oilerplate text </w:t>
      </w:r>
      <w:r w:rsidR="00F610D3">
        <w:rPr>
          <w:color w:val="0000FF" w:themeColor="accent1"/>
        </w:rPr>
        <w:t>is provided to</w:t>
      </w:r>
      <w:r w:rsidR="00F610D3" w:rsidRPr="00F610D3">
        <w:rPr>
          <w:color w:val="0000FF" w:themeColor="accent1"/>
        </w:rPr>
        <w:t xml:space="preserve"> introduce the chapter and describe federal, state, and Caltrans regulatory requirements</w:t>
      </w:r>
      <w:r w:rsidR="00165AE1" w:rsidRPr="00A16D03">
        <w:rPr>
          <w:color w:val="0000FF" w:themeColor="accent1"/>
        </w:rPr>
        <w:t>.</w:t>
      </w:r>
      <w:r w:rsidR="00F610D3">
        <w:rPr>
          <w:color w:val="0000FF" w:themeColor="accent1"/>
        </w:rPr>
        <w:t xml:space="preserve">  </w:t>
      </w:r>
      <w:r w:rsidR="0017614E">
        <w:rPr>
          <w:color w:val="0000FF" w:themeColor="accent1"/>
        </w:rPr>
        <w:t xml:space="preserve">Example text is provided for </w:t>
      </w:r>
      <w:r w:rsidR="007163FE">
        <w:rPr>
          <w:color w:val="0000FF" w:themeColor="accent1"/>
        </w:rPr>
        <w:t>local content.</w:t>
      </w:r>
    </w:p>
    <w:p w14:paraId="0210818F" w14:textId="3DCADD2F" w:rsidR="0099598E" w:rsidRDefault="00826E41" w:rsidP="0099598E">
      <w:pPr>
        <w:pStyle w:val="Heading2"/>
      </w:pPr>
      <w:bookmarkStart w:id="54" w:name="_Toc150334769"/>
      <w:bookmarkStart w:id="55" w:name="_Toc157429576"/>
      <w:r>
        <w:t>Introduction</w:t>
      </w:r>
      <w:bookmarkEnd w:id="54"/>
      <w:bookmarkEnd w:id="55"/>
    </w:p>
    <w:p w14:paraId="596F918E" w14:textId="564B1C65" w:rsidR="00AB091D" w:rsidRPr="00AB091D" w:rsidRDefault="00AB091D" w:rsidP="00AB091D">
      <w:pPr>
        <w:rPr>
          <w:color w:val="A50021" w:themeColor="accent2"/>
        </w:rPr>
      </w:pPr>
      <w:r w:rsidRPr="00AB091D">
        <w:rPr>
          <w:color w:val="A50021" w:themeColor="accent2"/>
        </w:rPr>
        <w:t xml:space="preserve">Chapter 2, </w:t>
      </w:r>
      <w:r w:rsidRPr="00AB091D">
        <w:rPr>
          <w:i/>
          <w:iCs/>
          <w:color w:val="A50021" w:themeColor="accent2"/>
        </w:rPr>
        <w:t>Regulatory Setting</w:t>
      </w:r>
      <w:r w:rsidRPr="00AB091D">
        <w:rPr>
          <w:color w:val="A50021" w:themeColor="accent2"/>
        </w:rPr>
        <w:t xml:space="preserve">, </w:t>
      </w:r>
      <w:r w:rsidR="00045D3D">
        <w:rPr>
          <w:color w:val="A50021" w:themeColor="accent2"/>
        </w:rPr>
        <w:t xml:space="preserve">briefly </w:t>
      </w:r>
      <w:r w:rsidRPr="00AB091D">
        <w:rPr>
          <w:color w:val="A50021" w:themeColor="accent2"/>
        </w:rPr>
        <w:t>summarizes key federal, state (including Caltrans), and local policies, regulations, and plans for energy resources as the</w:t>
      </w:r>
      <w:r w:rsidR="00DE09F3">
        <w:rPr>
          <w:color w:val="A50021" w:themeColor="accent2"/>
        </w:rPr>
        <w:t>y</w:t>
      </w:r>
      <w:r w:rsidRPr="00AB091D">
        <w:rPr>
          <w:color w:val="A50021" w:themeColor="accent2"/>
        </w:rPr>
        <w:t xml:space="preserve"> relate to the transportation sector and proposed project</w:t>
      </w:r>
      <w:r w:rsidR="00D41864" w:rsidRPr="00AB091D">
        <w:rPr>
          <w:color w:val="A50021" w:themeColor="accent2"/>
        </w:rPr>
        <w:t xml:space="preserve">.  </w:t>
      </w:r>
      <w:r w:rsidRPr="00AB091D">
        <w:rPr>
          <w:color w:val="A50021" w:themeColor="accent2"/>
        </w:rPr>
        <w:t xml:space="preserve">Major federal energy functions are regulated by the </w:t>
      </w:r>
      <w:bookmarkStart w:id="56" w:name="_Hlk149030105"/>
      <w:r w:rsidRPr="00AB091D">
        <w:rPr>
          <w:color w:val="A50021" w:themeColor="accent2"/>
        </w:rPr>
        <w:t xml:space="preserve">United States Department of Energy </w:t>
      </w:r>
      <w:bookmarkEnd w:id="56"/>
      <w:r w:rsidR="003C00C9">
        <w:rPr>
          <w:color w:val="A50021" w:themeColor="accent2"/>
        </w:rPr>
        <w:t xml:space="preserve">(U.S. DOE) </w:t>
      </w:r>
      <w:r w:rsidRPr="00AB091D">
        <w:rPr>
          <w:color w:val="A50021" w:themeColor="accent2"/>
        </w:rPr>
        <w:t xml:space="preserve">and associated sub-agencies, including the </w:t>
      </w:r>
      <w:bookmarkStart w:id="57" w:name="_Hlk149030109"/>
      <w:r w:rsidR="0093041A" w:rsidRPr="00AB091D">
        <w:rPr>
          <w:color w:val="A50021" w:themeColor="accent2"/>
        </w:rPr>
        <w:t xml:space="preserve">United States </w:t>
      </w:r>
      <w:r w:rsidRPr="00AB091D">
        <w:rPr>
          <w:color w:val="A50021" w:themeColor="accent2"/>
        </w:rPr>
        <w:t xml:space="preserve">Energy Information Administration (EIA) </w:t>
      </w:r>
      <w:bookmarkEnd w:id="57"/>
      <w:r w:rsidRPr="00AB091D">
        <w:rPr>
          <w:color w:val="A50021" w:themeColor="accent2"/>
        </w:rPr>
        <w:t>and Federal Energy Regulatory Commission</w:t>
      </w:r>
      <w:r w:rsidR="00D41864" w:rsidRPr="00AB091D">
        <w:rPr>
          <w:color w:val="A50021" w:themeColor="accent2"/>
        </w:rPr>
        <w:t xml:space="preserve">.  </w:t>
      </w:r>
      <w:r w:rsidRPr="00AB091D">
        <w:rPr>
          <w:color w:val="A50021" w:themeColor="accent2"/>
        </w:rPr>
        <w:t xml:space="preserve">Federal energy regulation is also influenced by environmental policies and initiatives established by the </w:t>
      </w:r>
      <w:bookmarkStart w:id="58" w:name="_Hlk149030171"/>
      <w:r w:rsidRPr="00AB091D">
        <w:rPr>
          <w:color w:val="A50021" w:themeColor="accent2"/>
        </w:rPr>
        <w:t>United States Environmental Protection Agency (</w:t>
      </w:r>
      <w:r w:rsidRPr="005F3496">
        <w:rPr>
          <w:color w:val="A50021" w:themeColor="accent2"/>
        </w:rPr>
        <w:t>U</w:t>
      </w:r>
      <w:r w:rsidR="00D30325">
        <w:rPr>
          <w:color w:val="A50021" w:themeColor="accent2"/>
        </w:rPr>
        <w:t>.</w:t>
      </w:r>
      <w:r w:rsidRPr="005F3496">
        <w:rPr>
          <w:color w:val="A50021" w:themeColor="accent2"/>
        </w:rPr>
        <w:t>S</w:t>
      </w:r>
      <w:r w:rsidR="00D30325">
        <w:rPr>
          <w:color w:val="A50021" w:themeColor="accent2"/>
        </w:rPr>
        <w:t xml:space="preserve">. </w:t>
      </w:r>
      <w:r w:rsidRPr="005F3496">
        <w:rPr>
          <w:color w:val="A50021" w:themeColor="accent2"/>
        </w:rPr>
        <w:t>EPA</w:t>
      </w:r>
      <w:r w:rsidRPr="00AB091D">
        <w:rPr>
          <w:color w:val="A50021" w:themeColor="accent2"/>
        </w:rPr>
        <w:t xml:space="preserve">) </w:t>
      </w:r>
      <w:bookmarkEnd w:id="58"/>
      <w:r w:rsidRPr="00AB091D">
        <w:rPr>
          <w:color w:val="A50021" w:themeColor="accent2"/>
        </w:rPr>
        <w:t>and other federal agencies, including</w:t>
      </w:r>
      <w:r w:rsidR="003B7FFD">
        <w:rPr>
          <w:color w:val="A50021" w:themeColor="accent2"/>
        </w:rPr>
        <w:t>,</w:t>
      </w:r>
      <w:r w:rsidRPr="00AB091D">
        <w:rPr>
          <w:color w:val="A50021" w:themeColor="accent2"/>
        </w:rPr>
        <w:t xml:space="preserve"> within the transportation sector, those set by </w:t>
      </w:r>
      <w:bookmarkStart w:id="59" w:name="_Hlk149030340"/>
      <w:r w:rsidR="00B22AC8">
        <w:rPr>
          <w:color w:val="A50021" w:themeColor="accent2"/>
        </w:rPr>
        <w:t>Federal Highway Administration (FHWA)</w:t>
      </w:r>
      <w:r w:rsidRPr="00AB091D">
        <w:rPr>
          <w:color w:val="A50021" w:themeColor="accent2"/>
        </w:rPr>
        <w:t xml:space="preserve"> </w:t>
      </w:r>
      <w:bookmarkEnd w:id="59"/>
      <w:r w:rsidRPr="00AB091D">
        <w:rPr>
          <w:color w:val="A50021" w:themeColor="accent2"/>
        </w:rPr>
        <w:t xml:space="preserve">and </w:t>
      </w:r>
      <w:bookmarkStart w:id="60" w:name="_Hlk149030179"/>
      <w:r w:rsidRPr="00AB091D">
        <w:rPr>
          <w:color w:val="A50021" w:themeColor="accent2"/>
        </w:rPr>
        <w:t>National Highway Traffic Safety Administration (NHTSA)</w:t>
      </w:r>
      <w:bookmarkEnd w:id="60"/>
      <w:r w:rsidR="00D41864" w:rsidRPr="00AB091D">
        <w:rPr>
          <w:color w:val="A50021" w:themeColor="accent2"/>
        </w:rPr>
        <w:t xml:space="preserve">.  </w:t>
      </w:r>
      <w:r w:rsidRPr="00AB091D">
        <w:rPr>
          <w:color w:val="A50021" w:themeColor="accent2"/>
        </w:rPr>
        <w:t xml:space="preserve">The </w:t>
      </w:r>
      <w:bookmarkStart w:id="61" w:name="_Hlk149030182"/>
      <w:r w:rsidRPr="00AB091D">
        <w:rPr>
          <w:color w:val="A50021" w:themeColor="accent2"/>
        </w:rPr>
        <w:t xml:space="preserve">California Energy Commission (CEC) </w:t>
      </w:r>
      <w:bookmarkEnd w:id="61"/>
      <w:r w:rsidRPr="00AB091D">
        <w:rPr>
          <w:color w:val="A50021" w:themeColor="accent2"/>
        </w:rPr>
        <w:t>is the primary energy policy and planning agency for California</w:t>
      </w:r>
      <w:r w:rsidR="00D41864" w:rsidRPr="00AB091D">
        <w:rPr>
          <w:color w:val="A50021" w:themeColor="accent2"/>
        </w:rPr>
        <w:t xml:space="preserve">.  </w:t>
      </w:r>
      <w:r w:rsidRPr="00AB091D">
        <w:rPr>
          <w:color w:val="A50021" w:themeColor="accent2"/>
        </w:rPr>
        <w:t xml:space="preserve">CEC closely coordinates with other state agencies, including the </w:t>
      </w:r>
      <w:bookmarkStart w:id="62" w:name="_Hlk149030186"/>
      <w:r w:rsidRPr="00AB091D">
        <w:rPr>
          <w:color w:val="A50021" w:themeColor="accent2"/>
        </w:rPr>
        <w:t>California Air Resources Board (CARB)</w:t>
      </w:r>
      <w:bookmarkEnd w:id="62"/>
      <w:r w:rsidRPr="00AB091D">
        <w:rPr>
          <w:color w:val="A50021" w:themeColor="accent2"/>
        </w:rPr>
        <w:t xml:space="preserve"> and Caltrans, to manage and implement statewide energy regulation.  </w:t>
      </w:r>
    </w:p>
    <w:p w14:paraId="2F9A9C6B" w14:textId="2AFE3D34" w:rsidR="00AB091D" w:rsidRPr="00AB091D" w:rsidRDefault="00AB091D" w:rsidP="00AB091D">
      <w:pPr>
        <w:rPr>
          <w:color w:val="A50021" w:themeColor="accent2"/>
        </w:rPr>
      </w:pPr>
      <w:r w:rsidRPr="00AB091D">
        <w:rPr>
          <w:color w:val="A50021" w:themeColor="accent2"/>
        </w:rPr>
        <w:t xml:space="preserve">Federal and state energy policies are often closely linked with </w:t>
      </w:r>
      <w:bookmarkStart w:id="63" w:name="_Hlk149030190"/>
      <w:r w:rsidRPr="00AB091D">
        <w:rPr>
          <w:color w:val="A50021" w:themeColor="accent2"/>
        </w:rPr>
        <w:t xml:space="preserve">greenhouse gas (GHG) </w:t>
      </w:r>
      <w:bookmarkEnd w:id="63"/>
      <w:r w:rsidRPr="00AB091D">
        <w:rPr>
          <w:color w:val="A50021" w:themeColor="accent2"/>
        </w:rPr>
        <w:t xml:space="preserve">policies. </w:t>
      </w:r>
      <w:r w:rsidR="00045D3D">
        <w:rPr>
          <w:color w:val="A50021" w:themeColor="accent2"/>
        </w:rPr>
        <w:t xml:space="preserve"> </w:t>
      </w:r>
      <w:r w:rsidRPr="00AB091D">
        <w:rPr>
          <w:color w:val="A50021" w:themeColor="accent2"/>
        </w:rPr>
        <w:t>This is because the majority of GHG emissions result from the combustion of fossil fuels</w:t>
      </w:r>
      <w:r w:rsidR="00D41864" w:rsidRPr="00AB091D">
        <w:rPr>
          <w:color w:val="A50021" w:themeColor="accent2"/>
        </w:rPr>
        <w:t xml:space="preserve">.  </w:t>
      </w:r>
      <w:r w:rsidRPr="00AB091D">
        <w:rPr>
          <w:color w:val="A50021" w:themeColor="accent2"/>
        </w:rPr>
        <w:t>Thus, policy decisions made to reduce GHG emissions will directly impact energy resources, and vice versa</w:t>
      </w:r>
      <w:r w:rsidR="00D41864" w:rsidRPr="00AB091D">
        <w:rPr>
          <w:color w:val="A50021" w:themeColor="accent2"/>
        </w:rPr>
        <w:t xml:space="preserve">.  </w:t>
      </w:r>
      <w:r w:rsidRPr="00AB091D">
        <w:rPr>
          <w:color w:val="A50021" w:themeColor="accent2"/>
        </w:rPr>
        <w:t>For example, zero-emission vehicles do not consume gasoline and diesel and are instead powered by electricity or hydrogen fuel cells</w:t>
      </w:r>
      <w:r w:rsidR="00D41864" w:rsidRPr="00AB091D">
        <w:rPr>
          <w:color w:val="A50021" w:themeColor="accent2"/>
        </w:rPr>
        <w:t xml:space="preserve">.  </w:t>
      </w:r>
      <w:r w:rsidRPr="00AB091D">
        <w:rPr>
          <w:color w:val="A50021" w:themeColor="accent2"/>
        </w:rPr>
        <w:t>Regulations that restrict the sale of fossil fuel engines and increase penetration of zero-emission vehicles will therefore shift energy consumption</w:t>
      </w:r>
      <w:r w:rsidR="00C3521B">
        <w:rPr>
          <w:color w:val="A50021" w:themeColor="accent2"/>
        </w:rPr>
        <w:t xml:space="preserve"> (and emissions)</w:t>
      </w:r>
      <w:r w:rsidRPr="00AB091D">
        <w:rPr>
          <w:color w:val="A50021" w:themeColor="accent2"/>
        </w:rPr>
        <w:t xml:space="preserve"> within the transportation sector from liquid fossil fuels (i.e., gasoline and diesel) to electricity and hydrogen</w:t>
      </w:r>
      <w:r w:rsidR="00D41864" w:rsidRPr="00AB091D">
        <w:rPr>
          <w:color w:val="A50021" w:themeColor="accent2"/>
        </w:rPr>
        <w:t xml:space="preserve">.  </w:t>
      </w:r>
      <w:r w:rsidRPr="00AB091D">
        <w:rPr>
          <w:color w:val="A50021" w:themeColor="accent2"/>
        </w:rPr>
        <w:t>Given the nexus between energy and GHG emissions, this chapter identifies GHG regulations most relevant and impactful to energy resources within the transportation sector.</w:t>
      </w:r>
      <w:r w:rsidR="005B0F4B">
        <w:rPr>
          <w:color w:val="A50021" w:themeColor="accent2"/>
        </w:rPr>
        <w:t xml:space="preserve">  </w:t>
      </w:r>
      <w:r w:rsidR="005B0F4B" w:rsidRPr="005B0F4B">
        <w:rPr>
          <w:b/>
          <w:bCs/>
          <w:color w:val="0000FF" w:themeColor="accent1"/>
        </w:rPr>
        <w:t>[End boilerplate]</w:t>
      </w:r>
    </w:p>
    <w:p w14:paraId="4E46F595" w14:textId="08C1FE65" w:rsidR="0099598E" w:rsidRDefault="00840A0D" w:rsidP="0099598E">
      <w:pPr>
        <w:pStyle w:val="Heading2"/>
      </w:pPr>
      <w:bookmarkStart w:id="64" w:name="_Toc150334770"/>
      <w:bookmarkStart w:id="65" w:name="_Toc157429577"/>
      <w:r>
        <w:t>Federal</w:t>
      </w:r>
      <w:bookmarkEnd w:id="64"/>
      <w:bookmarkEnd w:id="65"/>
      <w:r w:rsidR="0099598E">
        <w:t xml:space="preserve"> </w:t>
      </w:r>
    </w:p>
    <w:p w14:paraId="29E65303" w14:textId="7BDFA6A4" w:rsidR="00D44DA3" w:rsidRPr="00D44DA3" w:rsidRDefault="005B483B" w:rsidP="00D44DA3">
      <w:pPr>
        <w:rPr>
          <w:color w:val="A50021" w:themeColor="accent2"/>
        </w:rPr>
      </w:pPr>
      <w:r w:rsidRPr="005B483B">
        <w:rPr>
          <w:color w:val="A50021" w:themeColor="accent2"/>
        </w:rPr>
        <w:t>The Energy Policy and Conservation Act of 1975 established fuel economy standards for on-road motor vehicles sold in the United States</w:t>
      </w:r>
      <w:r w:rsidR="00D41864" w:rsidRPr="005B483B">
        <w:rPr>
          <w:color w:val="A50021" w:themeColor="accent2"/>
        </w:rPr>
        <w:t xml:space="preserve">.  </w:t>
      </w:r>
      <w:r w:rsidRPr="005B483B">
        <w:rPr>
          <w:color w:val="A50021" w:themeColor="accent2"/>
        </w:rPr>
        <w:t xml:space="preserve">Subsequent federal Energy Policy Acts </w:t>
      </w:r>
      <w:r w:rsidR="00045D3D">
        <w:rPr>
          <w:color w:val="A50021" w:themeColor="accent2"/>
        </w:rPr>
        <w:t xml:space="preserve">(e.g., 1992, 2005) </w:t>
      </w:r>
      <w:r w:rsidRPr="005B483B">
        <w:rPr>
          <w:color w:val="A50021" w:themeColor="accent2"/>
        </w:rPr>
        <w:t>have been passed since the original act of 1975</w:t>
      </w:r>
      <w:r w:rsidR="00D41864" w:rsidRPr="005B483B">
        <w:rPr>
          <w:color w:val="A50021" w:themeColor="accent2"/>
        </w:rPr>
        <w:t xml:space="preserve">.  </w:t>
      </w:r>
      <w:r w:rsidR="00D44DA3" w:rsidRPr="00D44DA3">
        <w:rPr>
          <w:color w:val="A50021" w:themeColor="accent2"/>
        </w:rPr>
        <w:t>NHTSA and U</w:t>
      </w:r>
      <w:r w:rsidR="00D30325">
        <w:rPr>
          <w:color w:val="A50021" w:themeColor="accent2"/>
        </w:rPr>
        <w:t>.</w:t>
      </w:r>
      <w:r w:rsidR="00D44DA3" w:rsidRPr="00D44DA3">
        <w:rPr>
          <w:color w:val="A50021" w:themeColor="accent2"/>
        </w:rPr>
        <w:t>S</w:t>
      </w:r>
      <w:r w:rsidR="00D30325">
        <w:rPr>
          <w:color w:val="A50021" w:themeColor="accent2"/>
        </w:rPr>
        <w:t xml:space="preserve">. </w:t>
      </w:r>
      <w:r w:rsidR="00D44DA3" w:rsidRPr="00D44DA3">
        <w:rPr>
          <w:color w:val="A50021" w:themeColor="accent2"/>
        </w:rPr>
        <w:t xml:space="preserve">EPA set </w:t>
      </w:r>
      <w:r w:rsidR="00045D3D" w:rsidRPr="005B483B">
        <w:rPr>
          <w:color w:val="A50021" w:themeColor="accent2"/>
        </w:rPr>
        <w:t xml:space="preserve">Corporate Average Fuel Economy </w:t>
      </w:r>
      <w:r w:rsidR="00D44DA3" w:rsidRPr="00D44DA3">
        <w:rPr>
          <w:color w:val="A50021" w:themeColor="accent2"/>
        </w:rPr>
        <w:t>standards for passenger cars and for light trucks (collectively, light-duty vehicles) and separately set fuel consumption standards for medium- and heavy-duty trucks and engines</w:t>
      </w:r>
      <w:r w:rsidR="00D41864" w:rsidRPr="00D44DA3">
        <w:rPr>
          <w:color w:val="A50021" w:themeColor="accent2"/>
        </w:rPr>
        <w:t xml:space="preserve">.  </w:t>
      </w:r>
    </w:p>
    <w:p w14:paraId="58F316F7" w14:textId="0CBD4D13" w:rsidR="00371556" w:rsidRPr="00774430" w:rsidRDefault="00B22AC8" w:rsidP="00774430">
      <w:pPr>
        <w:rPr>
          <w:color w:val="A50021" w:themeColor="accent2"/>
        </w:rPr>
      </w:pPr>
      <w:r>
        <w:rPr>
          <w:color w:val="A50021" w:themeColor="accent2"/>
        </w:rPr>
        <w:lastRenderedPageBreak/>
        <w:t xml:space="preserve">The </w:t>
      </w:r>
      <w:bookmarkStart w:id="66" w:name="_Hlk149030255"/>
      <w:r>
        <w:rPr>
          <w:color w:val="A50021" w:themeColor="accent2"/>
        </w:rPr>
        <w:t>National Environmental Policy Act (</w:t>
      </w:r>
      <w:r w:rsidR="00774430" w:rsidRPr="00774430">
        <w:rPr>
          <w:color w:val="A50021" w:themeColor="accent2"/>
        </w:rPr>
        <w:t>NEPA</w:t>
      </w:r>
      <w:r>
        <w:rPr>
          <w:color w:val="A50021" w:themeColor="accent2"/>
        </w:rPr>
        <w:t>)</w:t>
      </w:r>
      <w:bookmarkEnd w:id="66"/>
      <w:r w:rsidR="00774430" w:rsidRPr="00774430">
        <w:rPr>
          <w:color w:val="A50021" w:themeColor="accent2"/>
        </w:rPr>
        <w:t xml:space="preserve"> (42 U.S. Code </w:t>
      </w:r>
      <w:r w:rsidR="00C95449">
        <w:rPr>
          <w:color w:val="A50021" w:themeColor="accent2"/>
        </w:rPr>
        <w:t>Section</w:t>
      </w:r>
      <w:r w:rsidR="00C95449" w:rsidRPr="00774430">
        <w:rPr>
          <w:color w:val="A50021" w:themeColor="accent2"/>
        </w:rPr>
        <w:t xml:space="preserve"> </w:t>
      </w:r>
      <w:r w:rsidR="00774430" w:rsidRPr="00774430">
        <w:rPr>
          <w:color w:val="A50021" w:themeColor="accent2"/>
        </w:rPr>
        <w:t>4332) requires the identification of all potentially significant impacts on the environment, including impacts on energy resources</w:t>
      </w:r>
      <w:r w:rsidR="00D41864" w:rsidRPr="00774430">
        <w:rPr>
          <w:color w:val="A50021" w:themeColor="accent2"/>
        </w:rPr>
        <w:t xml:space="preserve">.  </w:t>
      </w:r>
      <w:r w:rsidR="00774430" w:rsidRPr="00774430">
        <w:rPr>
          <w:color w:val="A50021" w:themeColor="accent2"/>
        </w:rPr>
        <w:t xml:space="preserve">Guidance for evaluating energy impacts of transportation projects subject to NEPA is outlined in </w:t>
      </w:r>
      <w:bookmarkStart w:id="67" w:name="_Hlk149030354"/>
      <w:r w:rsidR="00774430" w:rsidRPr="00774430">
        <w:rPr>
          <w:color w:val="A50021" w:themeColor="accent2"/>
        </w:rPr>
        <w:t xml:space="preserve">FHWA's Technical Advisory </w:t>
      </w:r>
      <w:r w:rsidR="0049525C" w:rsidRPr="00774430">
        <w:rPr>
          <w:color w:val="A50021" w:themeColor="accent2"/>
        </w:rPr>
        <w:t>T</w:t>
      </w:r>
      <w:r w:rsidR="0049525C">
        <w:rPr>
          <w:color w:val="A50021" w:themeColor="accent2"/>
        </w:rPr>
        <w:t> </w:t>
      </w:r>
      <w:r w:rsidR="00774430" w:rsidRPr="00774430">
        <w:rPr>
          <w:color w:val="A50021" w:themeColor="accent2"/>
        </w:rPr>
        <w:t>6640.8A</w:t>
      </w:r>
      <w:bookmarkEnd w:id="67"/>
      <w:r w:rsidR="00D41864" w:rsidRPr="00774430">
        <w:rPr>
          <w:color w:val="A50021" w:themeColor="accent2"/>
        </w:rPr>
        <w:t xml:space="preserve">.  </w:t>
      </w:r>
      <w:r w:rsidR="00E75808" w:rsidRPr="005B0F4B">
        <w:rPr>
          <w:b/>
          <w:bCs/>
          <w:color w:val="0000FF" w:themeColor="accent1"/>
        </w:rPr>
        <w:t>[End boilerplate]</w:t>
      </w:r>
    </w:p>
    <w:p w14:paraId="13483C89" w14:textId="73CEC9FF" w:rsidR="0099598E" w:rsidRDefault="00874F68" w:rsidP="0099598E">
      <w:pPr>
        <w:pStyle w:val="Heading2"/>
      </w:pPr>
      <w:bookmarkStart w:id="68" w:name="_Toc150334774"/>
      <w:bookmarkStart w:id="69" w:name="_Toc157429578"/>
      <w:r>
        <w:t>State</w:t>
      </w:r>
      <w:bookmarkEnd w:id="68"/>
      <w:bookmarkEnd w:id="69"/>
    </w:p>
    <w:p w14:paraId="5936765E" w14:textId="14AFBF86" w:rsidR="005B483B" w:rsidRPr="00FA2CFA" w:rsidRDefault="00FA2CFA" w:rsidP="00FA2CFA">
      <w:pPr>
        <w:rPr>
          <w:color w:val="A50021" w:themeColor="accent2"/>
        </w:rPr>
      </w:pPr>
      <w:bookmarkStart w:id="70" w:name="_Hlk149030360"/>
      <w:r w:rsidRPr="00FA2CFA">
        <w:rPr>
          <w:color w:val="A50021" w:themeColor="accent2"/>
        </w:rPr>
        <w:t xml:space="preserve">Senate Bill (SB) </w:t>
      </w:r>
      <w:bookmarkEnd w:id="70"/>
      <w:r w:rsidRPr="00FA2CFA">
        <w:rPr>
          <w:color w:val="A50021" w:themeColor="accent2"/>
        </w:rPr>
        <w:t xml:space="preserve">1389 (Bowen, Chapter 568, Statutes of 2002) requires the CEC to prepare a biennial </w:t>
      </w:r>
      <w:bookmarkStart w:id="71" w:name="_Hlk149030366"/>
      <w:r w:rsidR="00227B1A">
        <w:rPr>
          <w:color w:val="A50021" w:themeColor="accent2"/>
        </w:rPr>
        <w:t>I</w:t>
      </w:r>
      <w:r w:rsidRPr="00FA2CFA">
        <w:rPr>
          <w:color w:val="A50021" w:themeColor="accent2"/>
        </w:rPr>
        <w:t xml:space="preserve">ntegrated </w:t>
      </w:r>
      <w:r w:rsidR="00227B1A">
        <w:rPr>
          <w:color w:val="A50021" w:themeColor="accent2"/>
        </w:rPr>
        <w:t>E</w:t>
      </w:r>
      <w:r w:rsidRPr="00FA2CFA">
        <w:rPr>
          <w:color w:val="A50021" w:themeColor="accent2"/>
        </w:rPr>
        <w:t xml:space="preserve">nergy </w:t>
      </w:r>
      <w:r w:rsidR="00227B1A">
        <w:rPr>
          <w:color w:val="A50021" w:themeColor="accent2"/>
        </w:rPr>
        <w:t>P</w:t>
      </w:r>
      <w:r w:rsidRPr="00FA2CFA">
        <w:rPr>
          <w:color w:val="A50021" w:themeColor="accent2"/>
        </w:rPr>
        <w:t xml:space="preserve">olicy </w:t>
      </w:r>
      <w:r w:rsidR="00227B1A">
        <w:rPr>
          <w:color w:val="A50021" w:themeColor="accent2"/>
        </w:rPr>
        <w:t>R</w:t>
      </w:r>
      <w:r w:rsidRPr="00FA2CFA">
        <w:rPr>
          <w:color w:val="A50021" w:themeColor="accent2"/>
        </w:rPr>
        <w:t>eport (</w:t>
      </w:r>
      <w:proofErr w:type="spellStart"/>
      <w:r w:rsidRPr="00FA2CFA">
        <w:rPr>
          <w:color w:val="A50021" w:themeColor="accent2"/>
        </w:rPr>
        <w:t>IEPR</w:t>
      </w:r>
      <w:proofErr w:type="spellEnd"/>
      <w:r w:rsidRPr="00FA2CFA">
        <w:rPr>
          <w:color w:val="A50021" w:themeColor="accent2"/>
        </w:rPr>
        <w:t>)</w:t>
      </w:r>
      <w:bookmarkEnd w:id="71"/>
      <w:r w:rsidR="00D41864" w:rsidRPr="00FA2CFA">
        <w:rPr>
          <w:color w:val="A50021" w:themeColor="accent2"/>
        </w:rPr>
        <w:t xml:space="preserve">.  </w:t>
      </w:r>
      <w:r w:rsidRPr="00FA2CFA">
        <w:rPr>
          <w:color w:val="A50021" w:themeColor="accent2"/>
        </w:rPr>
        <w:t xml:space="preserve">The reports provide an assessment of major energy trends </w:t>
      </w:r>
      <w:r w:rsidR="00045D3D">
        <w:rPr>
          <w:color w:val="A50021" w:themeColor="accent2"/>
        </w:rPr>
        <w:t>and</w:t>
      </w:r>
      <w:r w:rsidRPr="00FA2CFA">
        <w:rPr>
          <w:color w:val="A50021" w:themeColor="accent2"/>
        </w:rPr>
        <w:t xml:space="preserve"> give policy recommendations</w:t>
      </w:r>
      <w:r w:rsidR="00045D3D">
        <w:rPr>
          <w:color w:val="A50021" w:themeColor="accent2"/>
        </w:rPr>
        <w:t>.</w:t>
      </w:r>
    </w:p>
    <w:p w14:paraId="3DFC1CE8" w14:textId="34260139" w:rsidR="00E20346" w:rsidRPr="00FA2CFA" w:rsidRDefault="00E20346" w:rsidP="00FA2CFA">
      <w:pPr>
        <w:rPr>
          <w:color w:val="A50021" w:themeColor="accent2"/>
        </w:rPr>
      </w:pPr>
      <w:bookmarkStart w:id="72" w:name="_Hlk149030398"/>
      <w:r w:rsidRPr="00E20346">
        <w:rPr>
          <w:color w:val="A50021" w:themeColor="accent2"/>
        </w:rPr>
        <w:t xml:space="preserve">Assembly Bill (AB) </w:t>
      </w:r>
      <w:bookmarkEnd w:id="72"/>
      <w:r w:rsidRPr="00E20346">
        <w:rPr>
          <w:color w:val="A50021" w:themeColor="accent2"/>
        </w:rPr>
        <w:t>1493 (Pavley I) required CARB to develop and implement regulations to reduce automobile and light truck GHG emissions</w:t>
      </w:r>
      <w:r w:rsidR="00D41864" w:rsidRPr="00E20346">
        <w:rPr>
          <w:color w:val="A50021" w:themeColor="accent2"/>
        </w:rPr>
        <w:t xml:space="preserve">.  </w:t>
      </w:r>
      <w:r w:rsidRPr="00E20346">
        <w:rPr>
          <w:color w:val="A50021" w:themeColor="accent2"/>
        </w:rPr>
        <w:t xml:space="preserve">Additional strengthening of the Pavley </w:t>
      </w:r>
      <w:r w:rsidR="00045D3D">
        <w:rPr>
          <w:color w:val="A50021" w:themeColor="accent2"/>
        </w:rPr>
        <w:t xml:space="preserve">I </w:t>
      </w:r>
      <w:r w:rsidRPr="00E20346">
        <w:rPr>
          <w:color w:val="A50021" w:themeColor="accent2"/>
        </w:rPr>
        <w:t xml:space="preserve">standards </w:t>
      </w:r>
      <w:r w:rsidR="00781C37">
        <w:rPr>
          <w:color w:val="A50021" w:themeColor="accent2"/>
        </w:rPr>
        <w:t xml:space="preserve">has been adopted, including </w:t>
      </w:r>
      <w:r w:rsidRPr="00E20346">
        <w:rPr>
          <w:color w:val="A50021" w:themeColor="accent2"/>
        </w:rPr>
        <w:t>Advanced Clean Cars II, which will dramatically reduce emissions and fossil fuel consumption from passenger cars</w:t>
      </w:r>
      <w:r w:rsidR="00D41864" w:rsidRPr="00E20346">
        <w:rPr>
          <w:color w:val="A50021" w:themeColor="accent2"/>
        </w:rPr>
        <w:t xml:space="preserve">.  </w:t>
      </w:r>
      <w:r w:rsidR="00F52AF6">
        <w:rPr>
          <w:color w:val="A50021" w:themeColor="accent2"/>
        </w:rPr>
        <w:t>This</w:t>
      </w:r>
      <w:r w:rsidR="00F52AF6" w:rsidRPr="00E20346">
        <w:rPr>
          <w:color w:val="A50021" w:themeColor="accent2"/>
        </w:rPr>
        <w:t xml:space="preserve"> </w:t>
      </w:r>
      <w:r w:rsidR="00781C37">
        <w:rPr>
          <w:color w:val="A50021" w:themeColor="accent2"/>
        </w:rPr>
        <w:t xml:space="preserve">measure also </w:t>
      </w:r>
      <w:r w:rsidRPr="00E20346">
        <w:rPr>
          <w:color w:val="A50021" w:themeColor="accent2"/>
        </w:rPr>
        <w:t>requires an increasing proportion of new vehicles to be zero-emission vehicles.</w:t>
      </w:r>
      <w:r w:rsidR="00781C37">
        <w:rPr>
          <w:color w:val="A50021" w:themeColor="accent2"/>
        </w:rPr>
        <w:t xml:space="preserve">  </w:t>
      </w:r>
      <w:r w:rsidRPr="00E20346">
        <w:rPr>
          <w:color w:val="A50021" w:themeColor="accent2"/>
        </w:rPr>
        <w:t xml:space="preserve">CARB </w:t>
      </w:r>
      <w:r w:rsidR="00781C37">
        <w:rPr>
          <w:color w:val="A50021" w:themeColor="accent2"/>
        </w:rPr>
        <w:t xml:space="preserve">has </w:t>
      </w:r>
      <w:r w:rsidRPr="00E20346">
        <w:rPr>
          <w:color w:val="A50021" w:themeColor="accent2"/>
        </w:rPr>
        <w:t xml:space="preserve">also adopted the Advanced Clean Truck Regulation </w:t>
      </w:r>
      <w:r w:rsidR="00781C37">
        <w:rPr>
          <w:color w:val="A50021" w:themeColor="accent2"/>
        </w:rPr>
        <w:t xml:space="preserve">and </w:t>
      </w:r>
      <w:r w:rsidR="00781C37" w:rsidRPr="00E20346">
        <w:rPr>
          <w:color w:val="A50021" w:themeColor="accent2"/>
        </w:rPr>
        <w:t xml:space="preserve">Innovative Clean Transit Regulation </w:t>
      </w:r>
      <w:r w:rsidRPr="00E20346">
        <w:rPr>
          <w:color w:val="A50021" w:themeColor="accent2"/>
        </w:rPr>
        <w:t>to accelerate a large-scale transition of zero-emission medium- and heavy-duty vehicles</w:t>
      </w:r>
      <w:r w:rsidR="00781C37">
        <w:rPr>
          <w:color w:val="A50021" w:themeColor="accent2"/>
        </w:rPr>
        <w:t xml:space="preserve"> and public transit vehicles</w:t>
      </w:r>
      <w:r w:rsidR="00D41864" w:rsidRPr="00E20346">
        <w:rPr>
          <w:color w:val="A50021" w:themeColor="accent2"/>
        </w:rPr>
        <w:t>.</w:t>
      </w:r>
    </w:p>
    <w:p w14:paraId="6F8DFA4B" w14:textId="553400C8" w:rsidR="00000D36" w:rsidRDefault="000E2ACA" w:rsidP="00F56C3C">
      <w:r w:rsidRPr="003631EF">
        <w:rPr>
          <w:color w:val="A50021" w:themeColor="accent2"/>
        </w:rPr>
        <w:t xml:space="preserve">SB 375 provides a planning process that coordinates land use planning, </w:t>
      </w:r>
      <w:bookmarkStart w:id="73" w:name="_Hlk149030410"/>
      <w:r w:rsidRPr="003631EF">
        <w:rPr>
          <w:color w:val="A50021" w:themeColor="accent2"/>
        </w:rPr>
        <w:t>regional transportation plans (RTP)</w:t>
      </w:r>
      <w:bookmarkEnd w:id="73"/>
      <w:r w:rsidRPr="003631EF">
        <w:rPr>
          <w:color w:val="A50021" w:themeColor="accent2"/>
        </w:rPr>
        <w:t>,</w:t>
      </w:r>
      <w:r w:rsidRPr="003631EF">
        <w:rPr>
          <w:color w:val="A50021" w:themeColor="accent2"/>
        </w:rPr>
        <w:fldChar w:fldCharType="begin"/>
      </w:r>
      <w:r w:rsidRPr="003631EF">
        <w:rPr>
          <w:color w:val="A50021" w:themeColor="accent2"/>
        </w:rPr>
        <w:instrText xml:space="preserve"> TC "</w:instrText>
      </w:r>
      <w:bookmarkStart w:id="74" w:name="_Toc431997655"/>
      <w:bookmarkStart w:id="75" w:name="_Toc443053018"/>
      <w:bookmarkStart w:id="76" w:name="_Toc443308466"/>
      <w:bookmarkStart w:id="77" w:name="_Toc447187059"/>
      <w:r w:rsidRPr="003631EF">
        <w:rPr>
          <w:color w:val="A50021" w:themeColor="accent2"/>
        </w:rPr>
        <w:instrText>regional transportation plans (</w:instrText>
      </w:r>
      <w:proofErr w:type="spellStart"/>
      <w:r w:rsidRPr="003631EF">
        <w:rPr>
          <w:color w:val="A50021" w:themeColor="accent2"/>
        </w:rPr>
        <w:instrText>RTPs</w:instrText>
      </w:r>
      <w:proofErr w:type="spellEnd"/>
      <w:r w:rsidRPr="003631EF">
        <w:rPr>
          <w:color w:val="A50021" w:themeColor="accent2"/>
        </w:rPr>
        <w:instrText>),</w:instrText>
      </w:r>
      <w:bookmarkEnd w:id="74"/>
      <w:bookmarkEnd w:id="75"/>
      <w:bookmarkEnd w:id="76"/>
      <w:bookmarkEnd w:id="77"/>
      <w:r w:rsidRPr="003631EF">
        <w:rPr>
          <w:color w:val="A50021" w:themeColor="accent2"/>
        </w:rPr>
        <w:instrText xml:space="preserve"> " \f A \l "1" </w:instrText>
      </w:r>
      <w:r w:rsidRPr="003631EF">
        <w:rPr>
          <w:color w:val="A50021" w:themeColor="accent2"/>
        </w:rPr>
        <w:fldChar w:fldCharType="end"/>
      </w:r>
      <w:r w:rsidRPr="003631EF">
        <w:rPr>
          <w:color w:val="A50021" w:themeColor="accent2"/>
        </w:rPr>
        <w:t xml:space="preserve"> and funding priorities to help California meet its GHG reduction goals. </w:t>
      </w:r>
      <w:r w:rsidR="00781C37">
        <w:rPr>
          <w:color w:val="A50021" w:themeColor="accent2"/>
        </w:rPr>
        <w:t xml:space="preserve"> </w:t>
      </w:r>
      <w:r w:rsidRPr="003631EF">
        <w:rPr>
          <w:color w:val="A50021" w:themeColor="accent2"/>
        </w:rPr>
        <w:t xml:space="preserve">SB 743 updated the way transportation impacts are measured in California to better integrate and balance the needs of congestion management, infill development, active transportation, and GHG emissions reduction to ultimately achieve reductions in </w:t>
      </w:r>
      <w:r w:rsidR="00781C37" w:rsidRPr="003631EF">
        <w:rPr>
          <w:color w:val="A50021" w:themeColor="accent2"/>
        </w:rPr>
        <w:t xml:space="preserve">vehicle miles traveled </w:t>
      </w:r>
      <w:r w:rsidR="00781C37">
        <w:rPr>
          <w:color w:val="A50021" w:themeColor="accent2"/>
        </w:rPr>
        <w:t>(VMT)</w:t>
      </w:r>
      <w:r w:rsidRPr="003631EF">
        <w:rPr>
          <w:color w:val="A50021" w:themeColor="accent2"/>
        </w:rPr>
        <w:t>.</w:t>
      </w:r>
    </w:p>
    <w:p w14:paraId="1E39B5CB" w14:textId="5F194B91" w:rsidR="00E26798" w:rsidRPr="00E26798" w:rsidRDefault="00E26798" w:rsidP="00E26798">
      <w:pPr>
        <w:rPr>
          <w:color w:val="A50021" w:themeColor="accent2"/>
        </w:rPr>
      </w:pPr>
      <w:r w:rsidRPr="00E26798">
        <w:rPr>
          <w:color w:val="A50021" w:themeColor="accent2"/>
        </w:rPr>
        <w:t xml:space="preserve">Executive Order S-01-07 set a statewide goal to reduce the carbon intensity of California’s transportation fuels </w:t>
      </w:r>
      <w:r w:rsidR="00781C37">
        <w:rPr>
          <w:color w:val="A50021" w:themeColor="accent2"/>
        </w:rPr>
        <w:t xml:space="preserve">and </w:t>
      </w:r>
      <w:r w:rsidRPr="00E26798">
        <w:rPr>
          <w:color w:val="A50021" w:themeColor="accent2"/>
        </w:rPr>
        <w:t xml:space="preserve">led to the legislative adoption of the </w:t>
      </w:r>
      <w:bookmarkStart w:id="78" w:name="_Hlk149030428"/>
      <w:r w:rsidRPr="00E26798">
        <w:rPr>
          <w:color w:val="A50021" w:themeColor="accent2"/>
        </w:rPr>
        <w:t>Low Carbon Fuel Standard (LCFS)</w:t>
      </w:r>
      <w:bookmarkEnd w:id="78"/>
      <w:r w:rsidR="00D41864" w:rsidRPr="00E26798">
        <w:rPr>
          <w:color w:val="A50021" w:themeColor="accent2"/>
        </w:rPr>
        <w:t xml:space="preserve">.  </w:t>
      </w:r>
      <w:r w:rsidRPr="00E26798">
        <w:rPr>
          <w:color w:val="A50021" w:themeColor="accent2"/>
        </w:rPr>
        <w:t xml:space="preserve">CARB has also set </w:t>
      </w:r>
      <w:r w:rsidR="00781C37">
        <w:rPr>
          <w:color w:val="A50021" w:themeColor="accent2"/>
        </w:rPr>
        <w:t xml:space="preserve">renewable diesel </w:t>
      </w:r>
      <w:r w:rsidRPr="00E26798">
        <w:rPr>
          <w:color w:val="A50021" w:themeColor="accent2"/>
        </w:rPr>
        <w:t>fuel requirements for off-road engines</w:t>
      </w:r>
      <w:r w:rsidR="00781C37">
        <w:rPr>
          <w:color w:val="A50021" w:themeColor="accent2"/>
        </w:rPr>
        <w:t xml:space="preserve">, including </w:t>
      </w:r>
      <w:r w:rsidRPr="00E26798">
        <w:rPr>
          <w:color w:val="A50021" w:themeColor="accent2"/>
        </w:rPr>
        <w:t xml:space="preserve">amendments to the </w:t>
      </w:r>
      <w:bookmarkStart w:id="79" w:name="_Hlk149030449"/>
      <w:r w:rsidRPr="00E26798">
        <w:rPr>
          <w:color w:val="A50021" w:themeColor="accent2"/>
        </w:rPr>
        <w:t>In-Use Off-Road Diesel-Fueled Fleets Regulation (In-Use Regulation)</w:t>
      </w:r>
      <w:bookmarkEnd w:id="79"/>
      <w:r w:rsidR="00781C37">
        <w:rPr>
          <w:color w:val="A50021" w:themeColor="accent2"/>
        </w:rPr>
        <w:t>.</w:t>
      </w:r>
      <w:r w:rsidRPr="00E26798">
        <w:rPr>
          <w:color w:val="A50021" w:themeColor="accent2"/>
        </w:rPr>
        <w:t xml:space="preserve"> </w:t>
      </w:r>
    </w:p>
    <w:p w14:paraId="78114C48" w14:textId="635EDCAC" w:rsidR="00781C37" w:rsidRDefault="00E26798" w:rsidP="00F56C3C">
      <w:r w:rsidRPr="003631EF">
        <w:rPr>
          <w:color w:val="A50021" w:themeColor="accent2"/>
        </w:rPr>
        <w:t xml:space="preserve">SB 1078 established California’s </w:t>
      </w:r>
      <w:bookmarkStart w:id="80" w:name="_Hlk149030439"/>
      <w:r w:rsidRPr="003631EF">
        <w:rPr>
          <w:color w:val="A50021" w:themeColor="accent2"/>
        </w:rPr>
        <w:t xml:space="preserve">Renewables Portfolio </w:t>
      </w:r>
      <w:r w:rsidR="00B22AC8">
        <w:rPr>
          <w:color w:val="A50021" w:themeColor="accent2"/>
        </w:rPr>
        <w:t xml:space="preserve">Standard </w:t>
      </w:r>
      <w:r w:rsidRPr="003631EF">
        <w:rPr>
          <w:color w:val="A50021" w:themeColor="accent2"/>
        </w:rPr>
        <w:t xml:space="preserve">(RPS) </w:t>
      </w:r>
      <w:bookmarkEnd w:id="80"/>
      <w:r w:rsidRPr="003631EF">
        <w:rPr>
          <w:color w:val="A50021" w:themeColor="accent2"/>
        </w:rPr>
        <w:t>Program in 2002</w:t>
      </w:r>
      <w:r w:rsidR="00D41864" w:rsidRPr="003631EF">
        <w:rPr>
          <w:color w:val="A50021" w:themeColor="accent2"/>
        </w:rPr>
        <w:t xml:space="preserve">.  </w:t>
      </w:r>
      <w:r w:rsidRPr="003631EF">
        <w:rPr>
          <w:color w:val="A50021" w:themeColor="accent2"/>
        </w:rPr>
        <w:t>The RPS has been accelerated many times through additional legislation</w:t>
      </w:r>
      <w:r w:rsidR="00D41864" w:rsidRPr="003631EF">
        <w:rPr>
          <w:color w:val="A50021" w:themeColor="accent2"/>
        </w:rPr>
        <w:t xml:space="preserve">.  </w:t>
      </w:r>
      <w:r w:rsidRPr="003631EF">
        <w:rPr>
          <w:color w:val="A50021" w:themeColor="accent2"/>
        </w:rPr>
        <w:t xml:space="preserve">The current RPS requires California utilities to generate </w:t>
      </w:r>
      <w:r w:rsidR="00781C37">
        <w:rPr>
          <w:color w:val="A50021" w:themeColor="accent2"/>
        </w:rPr>
        <w:t>100</w:t>
      </w:r>
      <w:r w:rsidRPr="003631EF">
        <w:rPr>
          <w:color w:val="A50021" w:themeColor="accent2"/>
        </w:rPr>
        <w:t xml:space="preserve">% of their electricity from renewables by </w:t>
      </w:r>
      <w:r w:rsidR="00781C37">
        <w:rPr>
          <w:color w:val="A50021" w:themeColor="accent2"/>
        </w:rPr>
        <w:t xml:space="preserve">2045, with interim targets between 2024 and 2040.  </w:t>
      </w:r>
      <w:r w:rsidRPr="003631EF">
        <w:rPr>
          <w:color w:val="A50021" w:themeColor="accent2"/>
        </w:rPr>
        <w:t>SB 1020 also requires state agencies to rely on 100% renewable energy and zero-carbon resources to serve their own facilities by 2035.</w:t>
      </w:r>
      <w:r>
        <w:rPr>
          <w:color w:val="A50021" w:themeColor="accent2"/>
        </w:rPr>
        <w:t xml:space="preserve">  </w:t>
      </w:r>
    </w:p>
    <w:p w14:paraId="783FA693" w14:textId="07F3C3B8" w:rsidR="00000D36" w:rsidRDefault="000F558D" w:rsidP="00F56C3C">
      <w:r w:rsidRPr="000F558D">
        <w:rPr>
          <w:color w:val="0000FF" w:themeColor="accent1"/>
        </w:rPr>
        <w:t>[</w:t>
      </w:r>
      <w:r w:rsidRPr="000F558D">
        <w:rPr>
          <w:b/>
          <w:bCs/>
          <w:color w:val="0000FF" w:themeColor="accent1"/>
        </w:rPr>
        <w:t>NOTE</w:t>
      </w:r>
      <w:r w:rsidRPr="000F558D">
        <w:rPr>
          <w:color w:val="0000FF" w:themeColor="accent1"/>
        </w:rPr>
        <w:t xml:space="preserve">: Delete this </w:t>
      </w:r>
      <w:r w:rsidR="00781C37">
        <w:rPr>
          <w:color w:val="0000FF" w:themeColor="accent1"/>
        </w:rPr>
        <w:t>paragraph</w:t>
      </w:r>
      <w:r w:rsidR="00781C37" w:rsidRPr="000F558D">
        <w:rPr>
          <w:color w:val="0000FF" w:themeColor="accent1"/>
        </w:rPr>
        <w:t xml:space="preserve"> </w:t>
      </w:r>
      <w:r w:rsidRPr="000F558D">
        <w:rPr>
          <w:color w:val="0000FF" w:themeColor="accent1"/>
        </w:rPr>
        <w:t xml:space="preserve">if the project </w:t>
      </w:r>
      <w:r w:rsidR="00615C54">
        <w:rPr>
          <w:color w:val="0000FF" w:themeColor="accent1"/>
        </w:rPr>
        <w:t>does not include new or modified buildings (e.g., parking structures, transit stations, park and ride facilities).]</w:t>
      </w:r>
      <w:r w:rsidRPr="000F558D">
        <w:rPr>
          <w:color w:val="0000FF" w:themeColor="accent1"/>
        </w:rPr>
        <w:t xml:space="preserve"> </w:t>
      </w:r>
      <w:r w:rsidR="006202DA" w:rsidRPr="003631EF">
        <w:rPr>
          <w:color w:val="A50021" w:themeColor="accent2"/>
        </w:rPr>
        <w:t>California’s Building Standards Code</w:t>
      </w:r>
      <w:r w:rsidR="00AC2421">
        <w:rPr>
          <w:color w:val="A50021" w:themeColor="accent2"/>
        </w:rPr>
        <w:t xml:space="preserve"> (Title 24)</w:t>
      </w:r>
      <w:r w:rsidR="006202DA" w:rsidRPr="003631EF">
        <w:rPr>
          <w:color w:val="A50021" w:themeColor="accent2"/>
        </w:rPr>
        <w:t xml:space="preserve"> serve</w:t>
      </w:r>
      <w:r w:rsidR="00311F7C">
        <w:rPr>
          <w:color w:val="A50021" w:themeColor="accent2"/>
        </w:rPr>
        <w:t>s</w:t>
      </w:r>
      <w:r w:rsidR="006202DA" w:rsidRPr="003631EF">
        <w:rPr>
          <w:color w:val="A50021" w:themeColor="accent2"/>
        </w:rPr>
        <w:t xml:space="preserve"> to reduce energy consumption and enhance sustainability within the building sector</w:t>
      </w:r>
      <w:r w:rsidR="004C1161" w:rsidRPr="003631EF">
        <w:rPr>
          <w:color w:val="A50021" w:themeColor="accent2"/>
        </w:rPr>
        <w:t xml:space="preserve">.  </w:t>
      </w:r>
      <w:r w:rsidR="006202DA" w:rsidRPr="003631EF">
        <w:rPr>
          <w:color w:val="A50021" w:themeColor="accent2"/>
        </w:rPr>
        <w:t xml:space="preserve">Part 11 of Title 24 is known as the </w:t>
      </w:r>
      <w:bookmarkStart w:id="81" w:name="_Hlk149030469"/>
      <w:r w:rsidR="006202DA" w:rsidRPr="003631EF">
        <w:rPr>
          <w:color w:val="A50021" w:themeColor="accent2"/>
        </w:rPr>
        <w:t xml:space="preserve">Green </w:t>
      </w:r>
      <w:r w:rsidR="006202DA" w:rsidRPr="003631EF">
        <w:rPr>
          <w:color w:val="A50021" w:themeColor="accent2"/>
        </w:rPr>
        <w:lastRenderedPageBreak/>
        <w:t>Building Standards Code</w:t>
      </w:r>
      <w:r w:rsidR="00F56C3C">
        <w:rPr>
          <w:color w:val="A50021" w:themeColor="accent2"/>
        </w:rPr>
        <w:t xml:space="preserve"> </w:t>
      </w:r>
      <w:bookmarkEnd w:id="81"/>
      <w:r w:rsidR="006202DA" w:rsidRPr="003631EF">
        <w:rPr>
          <w:color w:val="A50021" w:themeColor="accent2"/>
        </w:rPr>
        <w:t>and establishes mandatory and voluntary green building standards for residential and non-residential buildings.</w:t>
      </w:r>
    </w:p>
    <w:p w14:paraId="5C678E5D" w14:textId="4E08E8F9" w:rsidR="00C11994" w:rsidRPr="00FA2CFA" w:rsidRDefault="00C11994" w:rsidP="00FA2CFA">
      <w:pPr>
        <w:rPr>
          <w:color w:val="A50021" w:themeColor="accent2"/>
        </w:rPr>
      </w:pPr>
      <w:r w:rsidRPr="003631EF">
        <w:rPr>
          <w:color w:val="A50021" w:themeColor="accent2"/>
        </w:rPr>
        <w:t>California has legislatively adopted GHG reduction targets that establish a broad framework for the state’s long-term GHG reduction program, which in turn influences energy regulation and policy within California</w:t>
      </w:r>
      <w:r w:rsidR="004C1161" w:rsidRPr="003631EF">
        <w:rPr>
          <w:color w:val="A50021" w:themeColor="accent2"/>
        </w:rPr>
        <w:t xml:space="preserve">.  </w:t>
      </w:r>
      <w:r w:rsidRPr="003631EF">
        <w:rPr>
          <w:color w:val="A50021" w:themeColor="accent2"/>
        </w:rPr>
        <w:t>Of particular importance are SB</w:t>
      </w:r>
      <w:r w:rsidRPr="003631EF">
        <w:rPr>
          <w:color w:val="A50021" w:themeColor="accent2"/>
        </w:rPr>
        <w:fldChar w:fldCharType="begin"/>
      </w:r>
      <w:r w:rsidRPr="003631EF">
        <w:rPr>
          <w:color w:val="A50021" w:themeColor="accent2"/>
        </w:rPr>
        <w:instrText xml:space="preserve"> TC "Senate Bill (SB)" \f A \l "1" </w:instrText>
      </w:r>
      <w:r w:rsidRPr="003631EF">
        <w:rPr>
          <w:color w:val="A50021" w:themeColor="accent2"/>
        </w:rPr>
        <w:fldChar w:fldCharType="end"/>
      </w:r>
      <w:r w:rsidRPr="003631EF">
        <w:rPr>
          <w:color w:val="A50021" w:themeColor="accent2"/>
        </w:rPr>
        <w:t xml:space="preserve"> 32 and AB 1279, which outline the state’s GHG reduction goals of achieving a 40</w:t>
      </w:r>
      <w:r w:rsidR="00BD2576">
        <w:rPr>
          <w:color w:val="A50021" w:themeColor="accent2"/>
        </w:rPr>
        <w:t>%</w:t>
      </w:r>
      <w:r w:rsidRPr="003631EF">
        <w:rPr>
          <w:color w:val="A50021" w:themeColor="accent2"/>
        </w:rPr>
        <w:t xml:space="preserve"> reduction below 1990 emissions levels by 2030 and net zero GHG emissions (i.e., reach a balance between the GHGs emitted and removed from the atmosphere) no later than 2045. </w:t>
      </w:r>
    </w:p>
    <w:p w14:paraId="3E896503" w14:textId="36CD18BD" w:rsidR="003C1F3A" w:rsidRPr="00FA2CFA" w:rsidRDefault="00F56C3C" w:rsidP="00FA2CFA">
      <w:pPr>
        <w:rPr>
          <w:color w:val="A50021" w:themeColor="accent2"/>
        </w:rPr>
      </w:pPr>
      <w:r w:rsidRPr="00F56C3C">
        <w:rPr>
          <w:color w:val="A50021" w:themeColor="accent2"/>
        </w:rPr>
        <w:t>T</w:t>
      </w:r>
      <w:r w:rsidR="00B22AC8" w:rsidRPr="00F56C3C">
        <w:rPr>
          <w:color w:val="A50021" w:themeColor="accent2"/>
        </w:rPr>
        <w:t>h</w:t>
      </w:r>
      <w:r w:rsidR="00B22AC8">
        <w:rPr>
          <w:color w:val="A50021" w:themeColor="accent2"/>
        </w:rPr>
        <w:t xml:space="preserve">e </w:t>
      </w:r>
      <w:bookmarkStart w:id="82" w:name="_Hlk149030498"/>
      <w:r w:rsidR="00B22AC8">
        <w:rPr>
          <w:color w:val="A50021" w:themeColor="accent2"/>
        </w:rPr>
        <w:t>California Environmental Quality Act (</w:t>
      </w:r>
      <w:r w:rsidR="003C1F3A" w:rsidRPr="003631EF">
        <w:rPr>
          <w:color w:val="A50021" w:themeColor="accent2"/>
        </w:rPr>
        <w:t>CEQA</w:t>
      </w:r>
      <w:r w:rsidR="00B22AC8">
        <w:rPr>
          <w:color w:val="A50021" w:themeColor="accent2"/>
        </w:rPr>
        <w:t>)</w:t>
      </w:r>
      <w:bookmarkEnd w:id="82"/>
      <w:r w:rsidR="003C1F3A" w:rsidRPr="003631EF">
        <w:rPr>
          <w:color w:val="A50021" w:themeColor="accent2"/>
        </w:rPr>
        <w:t xml:space="preserve"> Guidelines require environmental document</w:t>
      </w:r>
      <w:r>
        <w:rPr>
          <w:color w:val="A50021" w:themeColor="accent2"/>
        </w:rPr>
        <w:t>s</w:t>
      </w:r>
      <w:r w:rsidR="003C1F3A" w:rsidRPr="003631EF">
        <w:rPr>
          <w:color w:val="A50021" w:themeColor="accent2"/>
        </w:rPr>
        <w:t xml:space="preserve"> include an analysis of a project's potential for significant environmental effects resulting from wasteful, inefficient, or unnecessary use of energy; or wasteful use of energy resources (Guidelines </w:t>
      </w:r>
      <w:r w:rsidR="003C1F3A">
        <w:rPr>
          <w:color w:val="A50021" w:themeColor="accent2"/>
        </w:rPr>
        <w:t>Section</w:t>
      </w:r>
      <w:r w:rsidR="003C1F3A" w:rsidRPr="003631EF">
        <w:rPr>
          <w:color w:val="A50021" w:themeColor="accent2"/>
        </w:rPr>
        <w:t xml:space="preserve"> 15126.2(b)). </w:t>
      </w:r>
      <w:r>
        <w:rPr>
          <w:color w:val="A50021" w:themeColor="accent2"/>
        </w:rPr>
        <w:t xml:space="preserve"> </w:t>
      </w:r>
      <w:r w:rsidR="003C1F3A" w:rsidRPr="003631EF">
        <w:rPr>
          <w:color w:val="A50021" w:themeColor="accent2"/>
        </w:rPr>
        <w:t xml:space="preserve">The </w:t>
      </w:r>
      <w:r>
        <w:rPr>
          <w:color w:val="A50021" w:themeColor="accent2"/>
        </w:rPr>
        <w:t>document must</w:t>
      </w:r>
      <w:r w:rsidRPr="003631EF">
        <w:rPr>
          <w:color w:val="A50021" w:themeColor="accent2"/>
        </w:rPr>
        <w:t xml:space="preserve"> </w:t>
      </w:r>
      <w:r>
        <w:rPr>
          <w:color w:val="A50021" w:themeColor="accent2"/>
        </w:rPr>
        <w:t xml:space="preserve">also </w:t>
      </w:r>
      <w:r w:rsidR="003C1F3A" w:rsidRPr="003631EF">
        <w:rPr>
          <w:color w:val="A50021" w:themeColor="accent2"/>
        </w:rPr>
        <w:t xml:space="preserve">describe feasible measures which could minimize inefficient and unnecessary consumption of energy (Guidelines </w:t>
      </w:r>
      <w:r w:rsidR="003C1F3A">
        <w:rPr>
          <w:color w:val="A50021" w:themeColor="accent2"/>
        </w:rPr>
        <w:t>Section</w:t>
      </w:r>
      <w:r w:rsidR="003C1F3A" w:rsidRPr="003631EF">
        <w:rPr>
          <w:color w:val="A50021" w:themeColor="accent2"/>
        </w:rPr>
        <w:t xml:space="preserve"> 15126.4)</w:t>
      </w:r>
      <w:r w:rsidR="004C1161">
        <w:rPr>
          <w:color w:val="A50021" w:themeColor="accent2"/>
        </w:rPr>
        <w:t>.</w:t>
      </w:r>
      <w:r w:rsidR="004C1161" w:rsidRPr="003631EF">
        <w:rPr>
          <w:color w:val="A50021" w:themeColor="accent2"/>
        </w:rPr>
        <w:t xml:space="preserve">  </w:t>
      </w:r>
      <w:r w:rsidR="003C1F3A" w:rsidRPr="005B0F4B">
        <w:rPr>
          <w:b/>
          <w:bCs/>
          <w:color w:val="0000FF" w:themeColor="accent1"/>
        </w:rPr>
        <w:t>[End boilerplate]</w:t>
      </w:r>
    </w:p>
    <w:p w14:paraId="5547115C" w14:textId="42E18BE7" w:rsidR="0099598E" w:rsidRDefault="00874F68" w:rsidP="0099598E">
      <w:pPr>
        <w:pStyle w:val="Heading2"/>
      </w:pPr>
      <w:bookmarkStart w:id="83" w:name="_Toc150334782"/>
      <w:bookmarkStart w:id="84" w:name="_Toc157429579"/>
      <w:r>
        <w:t>Caltrans</w:t>
      </w:r>
      <w:bookmarkEnd w:id="83"/>
      <w:bookmarkEnd w:id="84"/>
    </w:p>
    <w:p w14:paraId="45B1171E" w14:textId="60423817" w:rsidR="005B483B" w:rsidRDefault="00F7216D" w:rsidP="0099598E">
      <w:pPr>
        <w:rPr>
          <w:b/>
          <w:bCs/>
          <w:color w:val="0000FF" w:themeColor="accent1"/>
        </w:rPr>
      </w:pPr>
      <w:bookmarkStart w:id="85" w:name="_Hlk149030536"/>
      <w:r>
        <w:rPr>
          <w:color w:val="A50021" w:themeColor="accent2"/>
        </w:rPr>
        <w:t xml:space="preserve">Director’s Policy </w:t>
      </w:r>
      <w:bookmarkEnd w:id="85"/>
      <w:r w:rsidR="000F558D" w:rsidRPr="000F558D">
        <w:rPr>
          <w:color w:val="A50021" w:themeColor="accent2"/>
        </w:rPr>
        <w:t>23 R1 established Caltrans policy to incorporate energy efficiency, conservation, and climate change measures into transportation planning, project development, design, operations, and maintenance of transportation facilities, fleets, buildings, and equipment to minimize use of fuel supplies and energy sources and reduce GHG emissions</w:t>
      </w:r>
      <w:r w:rsidR="004C1161" w:rsidRPr="000F558D">
        <w:rPr>
          <w:color w:val="A50021" w:themeColor="accent2"/>
        </w:rPr>
        <w:t xml:space="preserve">.  </w:t>
      </w:r>
      <w:r w:rsidRPr="00F7216D">
        <w:rPr>
          <w:color w:val="A50021" w:themeColor="accent2"/>
        </w:rPr>
        <w:t xml:space="preserve">Deputy Directive </w:t>
      </w:r>
      <w:r w:rsidR="000F558D" w:rsidRPr="000F558D">
        <w:rPr>
          <w:color w:val="A50021" w:themeColor="accent2"/>
        </w:rPr>
        <w:t>104 established Caltrans policy to promote installation of solar energy resources on California-owned/department-controlled facilities.</w:t>
      </w:r>
      <w:r w:rsidR="000F558D">
        <w:rPr>
          <w:color w:val="A50021" w:themeColor="accent2"/>
        </w:rPr>
        <w:t xml:space="preserve">  </w:t>
      </w:r>
      <w:r w:rsidR="005B483B" w:rsidRPr="005B0F4B">
        <w:rPr>
          <w:b/>
          <w:bCs/>
          <w:color w:val="0000FF" w:themeColor="accent1"/>
        </w:rPr>
        <w:t>[End boilerplate]</w:t>
      </w:r>
    </w:p>
    <w:p w14:paraId="6AB85F11" w14:textId="388471DB" w:rsidR="00874F68" w:rsidRDefault="00874F68" w:rsidP="00874F68">
      <w:pPr>
        <w:pStyle w:val="Heading2"/>
      </w:pPr>
      <w:bookmarkStart w:id="86" w:name="_Toc150334783"/>
      <w:bookmarkStart w:id="87" w:name="_Toc157429580"/>
      <w:r>
        <w:t>Local</w:t>
      </w:r>
      <w:bookmarkEnd w:id="86"/>
      <w:bookmarkEnd w:id="87"/>
    </w:p>
    <w:p w14:paraId="4C102068" w14:textId="77777777" w:rsidR="00A172F1" w:rsidRDefault="00A172F1" w:rsidP="00A172F1">
      <w:pPr>
        <w:pStyle w:val="IntroGuidanceHeading1"/>
      </w:pPr>
      <w:r>
        <w:t>GUIDANCE</w:t>
      </w:r>
    </w:p>
    <w:p w14:paraId="65F03AE4" w14:textId="1EBA32AD" w:rsidR="00A172F1" w:rsidRDefault="003713A7" w:rsidP="00A172F1">
      <w:pPr>
        <w:rPr>
          <w:color w:val="0000FF" w:themeColor="accent1"/>
        </w:rPr>
      </w:pPr>
      <w:r w:rsidRPr="003713A7">
        <w:rPr>
          <w:color w:val="0000FF" w:themeColor="accent1"/>
        </w:rPr>
        <w:t xml:space="preserve">Identify the applicable RTP and summarize energy management policies </w:t>
      </w:r>
      <w:r>
        <w:rPr>
          <w:color w:val="0000FF" w:themeColor="accent1"/>
        </w:rPr>
        <w:t>and/</w:t>
      </w:r>
      <w:r w:rsidRPr="003713A7">
        <w:rPr>
          <w:color w:val="0000FF" w:themeColor="accent1"/>
        </w:rPr>
        <w:t>or goals</w:t>
      </w:r>
      <w:r w:rsidR="004C1161" w:rsidRPr="003713A7">
        <w:rPr>
          <w:color w:val="0000FF" w:themeColor="accent1"/>
        </w:rPr>
        <w:t xml:space="preserve">.  </w:t>
      </w:r>
      <w:r w:rsidRPr="003713A7">
        <w:rPr>
          <w:color w:val="0000FF" w:themeColor="accent1"/>
        </w:rPr>
        <w:t>Summarize relevant energy ordinances or conservation policies from local general plans</w:t>
      </w:r>
      <w:r w:rsidR="004C1161" w:rsidRPr="003713A7">
        <w:rPr>
          <w:color w:val="0000FF" w:themeColor="accent1"/>
        </w:rPr>
        <w:t xml:space="preserve">.  </w:t>
      </w:r>
      <w:r w:rsidRPr="003713A7">
        <w:rPr>
          <w:color w:val="0000FF" w:themeColor="accent1"/>
        </w:rPr>
        <w:t>Indicate whether local government(s) in the project area have adopted a Climate Action Plan (CAP), which would likely outline various transportation and building energy measures designed to reduce greenhouse gas</w:t>
      </w:r>
      <w:r w:rsidR="00757A5E">
        <w:rPr>
          <w:color w:val="0000FF" w:themeColor="accent1"/>
        </w:rPr>
        <w:t xml:space="preserve"> (GHG)</w:t>
      </w:r>
      <w:r w:rsidRPr="003713A7">
        <w:rPr>
          <w:color w:val="0000FF" w:themeColor="accent1"/>
        </w:rPr>
        <w:t xml:space="preserve"> emissions and energy consumption</w:t>
      </w:r>
      <w:r>
        <w:rPr>
          <w:color w:val="0000FF" w:themeColor="accent1"/>
        </w:rPr>
        <w:t>.</w:t>
      </w:r>
      <w:r w:rsidR="003620E6">
        <w:rPr>
          <w:color w:val="0000FF" w:themeColor="accent1"/>
        </w:rPr>
        <w:t xml:space="preserve"> </w:t>
      </w:r>
      <w:r w:rsidR="00994158">
        <w:rPr>
          <w:color w:val="0000FF" w:themeColor="accent1"/>
        </w:rPr>
        <w:t xml:space="preserve"> The following is example language</w:t>
      </w:r>
      <w:r w:rsidR="003620E6">
        <w:rPr>
          <w:color w:val="0000FF" w:themeColor="accent1"/>
        </w:rPr>
        <w:t>.</w:t>
      </w:r>
    </w:p>
    <w:p w14:paraId="01AB7A46" w14:textId="63510611" w:rsidR="00850FFD" w:rsidRPr="00850FFD" w:rsidRDefault="00850FFD" w:rsidP="00850FFD">
      <w:pPr>
        <w:rPr>
          <w:color w:val="800080" w:themeColor="accent3"/>
        </w:rPr>
      </w:pPr>
      <w:r w:rsidRPr="00850FFD">
        <w:rPr>
          <w:color w:val="800080" w:themeColor="accent3"/>
        </w:rPr>
        <w:t>The Southern California Association of Governments (</w:t>
      </w:r>
      <w:proofErr w:type="spellStart"/>
      <w:r w:rsidRPr="00850FFD">
        <w:rPr>
          <w:color w:val="800080" w:themeColor="accent3"/>
        </w:rPr>
        <w:t>SCAG</w:t>
      </w:r>
      <w:proofErr w:type="spellEnd"/>
      <w:r w:rsidRPr="00850FFD">
        <w:rPr>
          <w:color w:val="800080" w:themeColor="accent3"/>
        </w:rPr>
        <w:t>) serves as the metropolitan planning organization for the region</w:t>
      </w:r>
      <w:r w:rsidR="004C1161" w:rsidRPr="00850FFD">
        <w:rPr>
          <w:color w:val="800080" w:themeColor="accent3"/>
        </w:rPr>
        <w:t xml:space="preserve">.  </w:t>
      </w:r>
      <w:proofErr w:type="spellStart"/>
      <w:r w:rsidRPr="00850FFD">
        <w:rPr>
          <w:color w:val="800080" w:themeColor="accent3"/>
        </w:rPr>
        <w:t>SCAG</w:t>
      </w:r>
      <w:proofErr w:type="spellEnd"/>
      <w:r w:rsidRPr="00850FFD">
        <w:rPr>
          <w:color w:val="800080" w:themeColor="accent3"/>
        </w:rPr>
        <w:t xml:space="preserve"> is required to </w:t>
      </w:r>
      <w:r w:rsidR="00994158">
        <w:rPr>
          <w:color w:val="800080" w:themeColor="accent3"/>
        </w:rPr>
        <w:t>prepare a</w:t>
      </w:r>
      <w:r w:rsidR="00342C28">
        <w:rPr>
          <w:color w:val="800080" w:themeColor="accent3"/>
        </w:rPr>
        <w:t>n</w:t>
      </w:r>
      <w:r w:rsidR="00994158">
        <w:rPr>
          <w:color w:val="800080" w:themeColor="accent3"/>
        </w:rPr>
        <w:t xml:space="preserve"> </w:t>
      </w:r>
      <w:r w:rsidRPr="00850FFD">
        <w:rPr>
          <w:color w:val="800080" w:themeColor="accent3"/>
        </w:rPr>
        <w:t xml:space="preserve">RTP every three years that includes a </w:t>
      </w:r>
      <w:r w:rsidR="00484D07">
        <w:rPr>
          <w:color w:val="800080" w:themeColor="accent3"/>
        </w:rPr>
        <w:t xml:space="preserve">sustainable </w:t>
      </w:r>
      <w:proofErr w:type="gramStart"/>
      <w:r w:rsidR="00484D07">
        <w:rPr>
          <w:color w:val="800080" w:themeColor="accent3"/>
        </w:rPr>
        <w:t>communities</w:t>
      </w:r>
      <w:proofErr w:type="gramEnd"/>
      <w:r w:rsidR="00484D07">
        <w:rPr>
          <w:color w:val="800080" w:themeColor="accent3"/>
        </w:rPr>
        <w:t xml:space="preserve"> strategy (</w:t>
      </w:r>
      <w:r w:rsidRPr="00850FFD">
        <w:rPr>
          <w:color w:val="800080" w:themeColor="accent3"/>
        </w:rPr>
        <w:t>SCS</w:t>
      </w:r>
      <w:r w:rsidR="00484D07">
        <w:rPr>
          <w:color w:val="800080" w:themeColor="accent3"/>
        </w:rPr>
        <w:t>)</w:t>
      </w:r>
      <w:r w:rsidR="004C1161" w:rsidRPr="00850FFD">
        <w:rPr>
          <w:color w:val="800080" w:themeColor="accent3"/>
        </w:rPr>
        <w:t xml:space="preserve">.  </w:t>
      </w:r>
      <w:r w:rsidRPr="00850FFD">
        <w:rPr>
          <w:color w:val="800080" w:themeColor="accent3"/>
        </w:rPr>
        <w:t xml:space="preserve">The most recent RTP is </w:t>
      </w:r>
      <w:r w:rsidRPr="00850FFD">
        <w:rPr>
          <w:i/>
          <w:iCs/>
          <w:color w:val="800080" w:themeColor="accent3"/>
        </w:rPr>
        <w:t>Connect SoCal</w:t>
      </w:r>
      <w:r w:rsidRPr="00850FFD">
        <w:rPr>
          <w:color w:val="800080" w:themeColor="accent3"/>
        </w:rPr>
        <w:t>, which was adopted on September 3, 2020</w:t>
      </w:r>
      <w:r w:rsidR="004C1161" w:rsidRPr="00850FFD">
        <w:rPr>
          <w:color w:val="800080" w:themeColor="accent3"/>
        </w:rPr>
        <w:t xml:space="preserve">.  </w:t>
      </w:r>
      <w:r w:rsidRPr="00850FFD">
        <w:rPr>
          <w:color w:val="800080" w:themeColor="accent3"/>
        </w:rPr>
        <w:t>The RTP focuses on the need to coordinate land use and transportation decisions to manage travel demand within the region to help meet state climate and air quality goals</w:t>
      </w:r>
      <w:r w:rsidR="004C1161" w:rsidRPr="00850FFD">
        <w:rPr>
          <w:color w:val="800080" w:themeColor="accent3"/>
        </w:rPr>
        <w:t xml:space="preserve">.  </w:t>
      </w:r>
      <w:r w:rsidRPr="00850FFD">
        <w:rPr>
          <w:color w:val="800080" w:themeColor="accent3"/>
        </w:rPr>
        <w:t>Implementation of the RTP is also expected to reduce regional energy and water consumption, and lower household transportation costs (</w:t>
      </w:r>
      <w:proofErr w:type="spellStart"/>
      <w:r w:rsidR="003C00C9" w:rsidRPr="00850FFD">
        <w:rPr>
          <w:color w:val="800080" w:themeColor="accent3"/>
        </w:rPr>
        <w:t>SCAG</w:t>
      </w:r>
      <w:proofErr w:type="spellEnd"/>
      <w:r w:rsidR="003C00C9" w:rsidRPr="00850FFD" w:rsidDel="003C00C9">
        <w:rPr>
          <w:color w:val="800080" w:themeColor="accent3"/>
        </w:rPr>
        <w:t xml:space="preserve"> </w:t>
      </w:r>
      <w:r w:rsidRPr="00850FFD">
        <w:rPr>
          <w:color w:val="800080" w:themeColor="accent3"/>
        </w:rPr>
        <w:t>2020)</w:t>
      </w:r>
      <w:r w:rsidR="004C1161" w:rsidRPr="00850FFD">
        <w:rPr>
          <w:color w:val="800080" w:themeColor="accent3"/>
        </w:rPr>
        <w:t xml:space="preserve">.  </w:t>
      </w:r>
      <w:r w:rsidRPr="00850FFD">
        <w:rPr>
          <w:color w:val="800080" w:themeColor="accent3"/>
        </w:rPr>
        <w:t xml:space="preserve">The following </w:t>
      </w:r>
      <w:r w:rsidRPr="000C5395">
        <w:rPr>
          <w:i/>
          <w:iCs/>
          <w:color w:val="800080" w:themeColor="accent3"/>
        </w:rPr>
        <w:t>Connect SoCal</w:t>
      </w:r>
      <w:r w:rsidRPr="00850FFD">
        <w:rPr>
          <w:color w:val="800080" w:themeColor="accent3"/>
        </w:rPr>
        <w:t xml:space="preserve"> goals target energy efficiency and alternative transportation.</w:t>
      </w:r>
    </w:p>
    <w:p w14:paraId="2A7E90B2" w14:textId="77777777" w:rsidR="00850FFD" w:rsidRPr="00850FFD" w:rsidRDefault="00850FFD" w:rsidP="00850FFD">
      <w:pPr>
        <w:numPr>
          <w:ilvl w:val="0"/>
          <w:numId w:val="14"/>
        </w:numPr>
        <w:rPr>
          <w:color w:val="800080" w:themeColor="accent3"/>
        </w:rPr>
      </w:pPr>
      <w:r w:rsidRPr="00850FFD">
        <w:rPr>
          <w:color w:val="800080" w:themeColor="accent3"/>
        </w:rPr>
        <w:lastRenderedPageBreak/>
        <w:t>Preserve and ensure a sustainable regional transportation system.</w:t>
      </w:r>
    </w:p>
    <w:p w14:paraId="5481B829" w14:textId="77777777" w:rsidR="00850FFD" w:rsidRPr="00850FFD" w:rsidRDefault="00850FFD" w:rsidP="00850FFD">
      <w:pPr>
        <w:numPr>
          <w:ilvl w:val="0"/>
          <w:numId w:val="14"/>
        </w:numPr>
        <w:rPr>
          <w:color w:val="800080" w:themeColor="accent3"/>
        </w:rPr>
      </w:pPr>
      <w:r w:rsidRPr="00850FFD">
        <w:rPr>
          <w:color w:val="800080" w:themeColor="accent3"/>
        </w:rPr>
        <w:t>Maximize the productivity of our transportation system.</w:t>
      </w:r>
    </w:p>
    <w:p w14:paraId="0F82CFEB" w14:textId="77777777" w:rsidR="00850FFD" w:rsidRPr="00850FFD" w:rsidRDefault="00850FFD" w:rsidP="00850FFD">
      <w:pPr>
        <w:numPr>
          <w:ilvl w:val="0"/>
          <w:numId w:val="14"/>
        </w:numPr>
        <w:rPr>
          <w:color w:val="800080" w:themeColor="accent3"/>
        </w:rPr>
      </w:pPr>
      <w:r w:rsidRPr="00850FFD">
        <w:rPr>
          <w:color w:val="800080" w:themeColor="accent3"/>
        </w:rPr>
        <w:t>Actively encourage and create incentives for energy efficiency, where possible.</w:t>
      </w:r>
    </w:p>
    <w:p w14:paraId="286F27BD" w14:textId="62D2600D" w:rsidR="00850FFD" w:rsidRPr="00850FFD" w:rsidRDefault="00850FFD" w:rsidP="00850FFD">
      <w:pPr>
        <w:numPr>
          <w:ilvl w:val="0"/>
          <w:numId w:val="14"/>
        </w:numPr>
        <w:rPr>
          <w:color w:val="800080" w:themeColor="accent3"/>
        </w:rPr>
      </w:pPr>
      <w:r w:rsidRPr="00850FFD">
        <w:rPr>
          <w:color w:val="800080" w:themeColor="accent3"/>
        </w:rPr>
        <w:t xml:space="preserve">Encourage </w:t>
      </w:r>
      <w:r w:rsidR="003620E6">
        <w:rPr>
          <w:color w:val="800080" w:themeColor="accent3"/>
        </w:rPr>
        <w:t>l</w:t>
      </w:r>
      <w:r w:rsidRPr="00850FFD">
        <w:rPr>
          <w:color w:val="800080" w:themeColor="accent3"/>
        </w:rPr>
        <w:t>and use and growth patterns that facilitate transit and active transportation.</w:t>
      </w:r>
    </w:p>
    <w:p w14:paraId="4B544E6F" w14:textId="18C09D56" w:rsidR="00850FFD" w:rsidRPr="00850FFD" w:rsidRDefault="00850FFD" w:rsidP="00850FFD">
      <w:pPr>
        <w:rPr>
          <w:color w:val="800080" w:themeColor="accent3"/>
        </w:rPr>
      </w:pPr>
      <w:bookmarkStart w:id="88" w:name="_Hlk512511288"/>
      <w:r w:rsidRPr="00850FFD">
        <w:rPr>
          <w:color w:val="800080" w:themeColor="accent3"/>
        </w:rPr>
        <w:t xml:space="preserve">The following energy policies from the Multipurpose Open Space and Air Quality Elements of the Riverside County General Plan are applicable to the transportation sector and proposed project (Riverside County </w:t>
      </w:r>
      <w:r w:rsidR="00B07B6A">
        <w:rPr>
          <w:color w:val="800080" w:themeColor="accent3"/>
        </w:rPr>
        <w:t xml:space="preserve">2015, </w:t>
      </w:r>
      <w:r w:rsidRPr="00850FFD">
        <w:rPr>
          <w:color w:val="800080" w:themeColor="accent3"/>
        </w:rPr>
        <w:t>2018):</w:t>
      </w:r>
    </w:p>
    <w:bookmarkEnd w:id="88"/>
    <w:p w14:paraId="7C51CAD1" w14:textId="0C4DC98D" w:rsidR="00850FFD" w:rsidRPr="00850FFD" w:rsidRDefault="00850FFD" w:rsidP="00850FFD">
      <w:pPr>
        <w:numPr>
          <w:ilvl w:val="0"/>
          <w:numId w:val="15"/>
        </w:numPr>
        <w:rPr>
          <w:color w:val="800080" w:themeColor="accent3"/>
        </w:rPr>
      </w:pPr>
      <w:r w:rsidRPr="00850FFD">
        <w:rPr>
          <w:color w:val="800080" w:themeColor="accent3"/>
        </w:rPr>
        <w:t>Policy OS</w:t>
      </w:r>
      <w:r w:rsidR="00087A83">
        <w:rPr>
          <w:color w:val="800080" w:themeColor="accent3"/>
        </w:rPr>
        <w:t>-</w:t>
      </w:r>
      <w:r w:rsidRPr="00850FFD">
        <w:rPr>
          <w:color w:val="800080" w:themeColor="accent3"/>
        </w:rPr>
        <w:t>11.1—Enforce the state Solar Shade Control Act, which promotes all feasible means of energy conservation and all feasible uses of alternative energy supply sources.</w:t>
      </w:r>
    </w:p>
    <w:p w14:paraId="68DEB39A" w14:textId="1F39E683" w:rsidR="00850FFD" w:rsidRPr="00850FFD" w:rsidRDefault="00850FFD" w:rsidP="00850FFD">
      <w:pPr>
        <w:numPr>
          <w:ilvl w:val="0"/>
          <w:numId w:val="15"/>
        </w:numPr>
        <w:rPr>
          <w:color w:val="800080" w:themeColor="accent3"/>
        </w:rPr>
      </w:pPr>
      <w:r w:rsidRPr="00850FFD">
        <w:rPr>
          <w:color w:val="800080" w:themeColor="accent3"/>
        </w:rPr>
        <w:t>Policy OS</w:t>
      </w:r>
      <w:r w:rsidR="00087A83">
        <w:rPr>
          <w:color w:val="800080" w:themeColor="accent3"/>
        </w:rPr>
        <w:t>-</w:t>
      </w:r>
      <w:r w:rsidRPr="00850FFD">
        <w:rPr>
          <w:color w:val="800080" w:themeColor="accent3"/>
        </w:rPr>
        <w:t>11.3—Permit and encourage the use of passive solar devices and other state-of-the-art energy resources.</w:t>
      </w:r>
    </w:p>
    <w:p w14:paraId="429D0891" w14:textId="0B4D0397" w:rsidR="00850FFD" w:rsidRPr="00850FFD" w:rsidRDefault="00850FFD" w:rsidP="00850FFD">
      <w:pPr>
        <w:numPr>
          <w:ilvl w:val="0"/>
          <w:numId w:val="15"/>
        </w:numPr>
        <w:rPr>
          <w:color w:val="800080" w:themeColor="accent3"/>
        </w:rPr>
      </w:pPr>
      <w:r w:rsidRPr="00850FFD">
        <w:rPr>
          <w:color w:val="800080" w:themeColor="accent3"/>
        </w:rPr>
        <w:t>Policy OS</w:t>
      </w:r>
      <w:r w:rsidR="00087A83">
        <w:rPr>
          <w:color w:val="800080" w:themeColor="accent3"/>
        </w:rPr>
        <w:t>-</w:t>
      </w:r>
      <w:r w:rsidRPr="00850FFD">
        <w:rPr>
          <w:color w:val="800080" w:themeColor="accent3"/>
        </w:rPr>
        <w:t>16.3—Encourage site-planning and building design that maximizes solar energy use/potential in future development applications.</w:t>
      </w:r>
    </w:p>
    <w:p w14:paraId="1D5E728D" w14:textId="248F5CB9" w:rsidR="00850FFD" w:rsidRPr="00850FFD" w:rsidRDefault="00850FFD" w:rsidP="00850FFD">
      <w:pPr>
        <w:numPr>
          <w:ilvl w:val="0"/>
          <w:numId w:val="15"/>
        </w:numPr>
        <w:rPr>
          <w:color w:val="800080" w:themeColor="accent3"/>
        </w:rPr>
      </w:pPr>
      <w:r w:rsidRPr="00850FFD">
        <w:rPr>
          <w:color w:val="800080" w:themeColor="accent3"/>
        </w:rPr>
        <w:t>Policy OS</w:t>
      </w:r>
      <w:r w:rsidR="00087A83">
        <w:rPr>
          <w:color w:val="800080" w:themeColor="accent3"/>
        </w:rPr>
        <w:t>-</w:t>
      </w:r>
      <w:r w:rsidRPr="00850FFD">
        <w:rPr>
          <w:color w:val="800080" w:themeColor="accent3"/>
        </w:rPr>
        <w:t>16.8—Promote coordination of new public facilities with mass transit service and other alternative transportation services, including bicycles, and design structures to enhance mass transit, bicycle, and pedestrian use.</w:t>
      </w:r>
    </w:p>
    <w:p w14:paraId="4B5D56D3" w14:textId="2AE4E6C5" w:rsidR="00850FFD" w:rsidRPr="00850FFD" w:rsidRDefault="00850FFD" w:rsidP="00850FFD">
      <w:pPr>
        <w:numPr>
          <w:ilvl w:val="0"/>
          <w:numId w:val="15"/>
        </w:numPr>
        <w:rPr>
          <w:color w:val="800080" w:themeColor="accent3"/>
        </w:rPr>
      </w:pPr>
      <w:r w:rsidRPr="00850FFD">
        <w:rPr>
          <w:color w:val="800080" w:themeColor="accent3"/>
        </w:rPr>
        <w:t>Policy OS</w:t>
      </w:r>
      <w:r w:rsidR="00087A83">
        <w:rPr>
          <w:color w:val="800080" w:themeColor="accent3"/>
        </w:rPr>
        <w:t>-</w:t>
      </w:r>
      <w:r w:rsidRPr="00850FFD">
        <w:rPr>
          <w:color w:val="800080" w:themeColor="accent3"/>
        </w:rPr>
        <w:t xml:space="preserve">16.9—Encourage increased use of passive, solar design and </w:t>
      </w:r>
      <w:proofErr w:type="gramStart"/>
      <w:r w:rsidRPr="00850FFD">
        <w:rPr>
          <w:color w:val="800080" w:themeColor="accent3"/>
        </w:rPr>
        <w:t>day-lighting</w:t>
      </w:r>
      <w:proofErr w:type="gramEnd"/>
      <w:r w:rsidRPr="00850FFD">
        <w:rPr>
          <w:color w:val="800080" w:themeColor="accent3"/>
        </w:rPr>
        <w:t xml:space="preserve"> in existing and new structures.</w:t>
      </w:r>
    </w:p>
    <w:p w14:paraId="56D8C10E" w14:textId="2A75EAEF" w:rsidR="00850FFD" w:rsidRPr="00850FFD" w:rsidRDefault="00850FFD" w:rsidP="00850FFD">
      <w:pPr>
        <w:numPr>
          <w:ilvl w:val="0"/>
          <w:numId w:val="15"/>
        </w:numPr>
        <w:rPr>
          <w:color w:val="800080" w:themeColor="accent3"/>
        </w:rPr>
      </w:pPr>
      <w:bookmarkStart w:id="89" w:name="_Toc517269992"/>
      <w:bookmarkStart w:id="90" w:name="_Toc517271221"/>
      <w:bookmarkEnd w:id="89"/>
      <w:bookmarkEnd w:id="90"/>
      <w:r w:rsidRPr="00850FFD">
        <w:rPr>
          <w:color w:val="800080" w:themeColor="accent3"/>
        </w:rPr>
        <w:t>Policy AQ</w:t>
      </w:r>
      <w:r w:rsidR="00087A83">
        <w:rPr>
          <w:color w:val="800080" w:themeColor="accent3"/>
        </w:rPr>
        <w:t>-</w:t>
      </w:r>
      <w:r w:rsidRPr="00850FFD">
        <w:rPr>
          <w:color w:val="800080" w:themeColor="accent3"/>
        </w:rPr>
        <w:t>4.1—Require the use of all feasible building materials/methods which reduce emissions.</w:t>
      </w:r>
    </w:p>
    <w:p w14:paraId="54731F36" w14:textId="08C2A4B9" w:rsidR="00850FFD" w:rsidRPr="00850FFD" w:rsidRDefault="00850FFD" w:rsidP="00850FFD">
      <w:pPr>
        <w:numPr>
          <w:ilvl w:val="0"/>
          <w:numId w:val="15"/>
        </w:numPr>
        <w:rPr>
          <w:color w:val="800080" w:themeColor="accent3"/>
        </w:rPr>
      </w:pPr>
      <w:r w:rsidRPr="00850FFD">
        <w:rPr>
          <w:color w:val="800080" w:themeColor="accent3"/>
        </w:rPr>
        <w:t xml:space="preserve">Policy AQ-9.2—Attain performance goals and/or VMT reductions which are consistent with </w:t>
      </w:r>
      <w:proofErr w:type="spellStart"/>
      <w:r w:rsidRPr="00850FFD">
        <w:rPr>
          <w:color w:val="800080" w:themeColor="accent3"/>
        </w:rPr>
        <w:t>SCAG’s</w:t>
      </w:r>
      <w:proofErr w:type="spellEnd"/>
      <w:r w:rsidRPr="00850FFD">
        <w:rPr>
          <w:color w:val="800080" w:themeColor="accent3"/>
        </w:rPr>
        <w:t xml:space="preserve"> Growth Management Plan.</w:t>
      </w:r>
    </w:p>
    <w:p w14:paraId="5F812E63" w14:textId="2E361524" w:rsidR="00850FFD" w:rsidRPr="00850FFD" w:rsidRDefault="00850FFD" w:rsidP="00850FFD">
      <w:pPr>
        <w:numPr>
          <w:ilvl w:val="0"/>
          <w:numId w:val="15"/>
        </w:numPr>
        <w:rPr>
          <w:color w:val="800080" w:themeColor="accent3"/>
        </w:rPr>
      </w:pPr>
      <w:r w:rsidRPr="00850FFD">
        <w:rPr>
          <w:color w:val="800080" w:themeColor="accent3"/>
        </w:rPr>
        <w:t>Policy AQ-12.4—Eliminate traffic hazards and delays through highway maintenance, rapid emergency response, debris removal, and elimination of at-grade railroad crossings, when possible.</w:t>
      </w:r>
    </w:p>
    <w:p w14:paraId="79DD68A6" w14:textId="77777777" w:rsidR="00850FFD" w:rsidRPr="00850FFD" w:rsidRDefault="00850FFD" w:rsidP="00850FFD">
      <w:pPr>
        <w:numPr>
          <w:ilvl w:val="0"/>
          <w:numId w:val="15"/>
        </w:numPr>
        <w:rPr>
          <w:color w:val="800080" w:themeColor="accent3"/>
        </w:rPr>
      </w:pPr>
      <w:r w:rsidRPr="00850FFD">
        <w:rPr>
          <w:color w:val="800080" w:themeColor="accent3"/>
        </w:rPr>
        <w:t>Policy AQ-13.2—Cooperate with local, regional, state, and federal jurisdictions to better manage transportation facilities and fleets.</w:t>
      </w:r>
    </w:p>
    <w:p w14:paraId="3E049C98" w14:textId="77777777" w:rsidR="00850FFD" w:rsidRPr="00850FFD" w:rsidRDefault="00850FFD" w:rsidP="00850FFD">
      <w:pPr>
        <w:numPr>
          <w:ilvl w:val="0"/>
          <w:numId w:val="15"/>
        </w:numPr>
        <w:rPr>
          <w:color w:val="800080" w:themeColor="accent3"/>
        </w:rPr>
      </w:pPr>
      <w:r w:rsidRPr="00850FFD">
        <w:rPr>
          <w:color w:val="800080" w:themeColor="accent3"/>
        </w:rPr>
        <w:t>Policy AQ-14.1—Emphasize the use of high occupancy vehicle lanes, light rail and bus routes, and pedestrian and bicycle facilities when using transportation facility development to improve mobility and air quality.</w:t>
      </w:r>
    </w:p>
    <w:p w14:paraId="51F84976" w14:textId="77777777" w:rsidR="00850FFD" w:rsidRPr="00850FFD" w:rsidRDefault="00850FFD" w:rsidP="00850FFD">
      <w:pPr>
        <w:numPr>
          <w:ilvl w:val="0"/>
          <w:numId w:val="15"/>
        </w:numPr>
        <w:rPr>
          <w:color w:val="800080" w:themeColor="accent3"/>
        </w:rPr>
      </w:pPr>
      <w:r w:rsidRPr="00850FFD">
        <w:rPr>
          <w:color w:val="800080" w:themeColor="accent3"/>
        </w:rPr>
        <w:lastRenderedPageBreak/>
        <w:t>Policy AQ-14.3—Monitor traffic and congestion to determine when and where the County needs new transportation facilities to achieve increased mobility efficiency.</w:t>
      </w:r>
    </w:p>
    <w:p w14:paraId="0BC19B63" w14:textId="3043B895" w:rsidR="003713A7" w:rsidRPr="00850FFD" w:rsidRDefault="00850FFD" w:rsidP="00850FFD">
      <w:pPr>
        <w:rPr>
          <w:color w:val="800080" w:themeColor="accent3"/>
        </w:rPr>
      </w:pPr>
      <w:r w:rsidRPr="00850FFD">
        <w:rPr>
          <w:color w:val="800080" w:themeColor="accent3"/>
        </w:rPr>
        <w:t>Riverside County (2019) adopted a Climate Action Plan (CAP) in 2019 that outlines the county’s strategy for meeting its 2035 and 2050 GHG reduction targets</w:t>
      </w:r>
      <w:r w:rsidR="004C1161" w:rsidRPr="00850FFD">
        <w:rPr>
          <w:color w:val="800080" w:themeColor="accent3"/>
        </w:rPr>
        <w:t xml:space="preserve">.  </w:t>
      </w:r>
      <w:r w:rsidRPr="00850FFD">
        <w:rPr>
          <w:color w:val="800080" w:themeColor="accent3"/>
        </w:rPr>
        <w:t>The CAP includes measures that encourage energy efficiency and renewable energy, expand alternative transportation options, and support increased penetration of zero-emission vehicles throughout the county.</w:t>
      </w:r>
      <w:r w:rsidR="004C553F">
        <w:rPr>
          <w:color w:val="800080" w:themeColor="accent3"/>
        </w:rPr>
        <w:t xml:space="preserve">  </w:t>
      </w:r>
      <w:r w:rsidR="004C553F" w:rsidRPr="005B0F4B">
        <w:rPr>
          <w:b/>
          <w:bCs/>
          <w:color w:val="0000FF" w:themeColor="accent1"/>
        </w:rPr>
        <w:t xml:space="preserve">[End </w:t>
      </w:r>
      <w:r w:rsidR="00531B63">
        <w:rPr>
          <w:b/>
          <w:bCs/>
          <w:color w:val="0000FF" w:themeColor="accent1"/>
        </w:rPr>
        <w:t>e</w:t>
      </w:r>
      <w:r w:rsidR="00916B35">
        <w:rPr>
          <w:b/>
          <w:bCs/>
          <w:color w:val="0000FF" w:themeColor="accent1"/>
        </w:rPr>
        <w:t>xample</w:t>
      </w:r>
      <w:r w:rsidR="004C553F" w:rsidRPr="005B0F4B">
        <w:rPr>
          <w:b/>
          <w:bCs/>
          <w:color w:val="0000FF" w:themeColor="accent1"/>
        </w:rPr>
        <w:t>]</w:t>
      </w:r>
    </w:p>
    <w:p w14:paraId="23115360" w14:textId="772230A6" w:rsidR="00874F68" w:rsidRPr="00612793" w:rsidRDefault="00874F68"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FD89163" w14:textId="77777777" w:rsidR="0099598E" w:rsidRDefault="0099598E" w:rsidP="0099598E">
      <w:pPr>
        <w:pStyle w:val="BodyText"/>
      </w:pPr>
    </w:p>
    <w:p w14:paraId="124CD7E3" w14:textId="77777777" w:rsidR="0099598E" w:rsidRPr="0099598E" w:rsidRDefault="0099598E" w:rsidP="0099598E">
      <w:pPr>
        <w:sectPr w:rsidR="0099598E" w:rsidRPr="0099598E" w:rsidSect="00203664">
          <w:pgSz w:w="12240" w:h="15840"/>
          <w:pgMar w:top="1440" w:right="1440" w:bottom="1440" w:left="1440" w:header="720" w:footer="720" w:gutter="0"/>
          <w:cols w:space="720"/>
          <w:docGrid w:linePitch="360"/>
        </w:sectPr>
      </w:pPr>
    </w:p>
    <w:p w14:paraId="2271DC1A" w14:textId="1E414699" w:rsidR="0099598E" w:rsidRDefault="0099598E" w:rsidP="0099598E">
      <w:pPr>
        <w:pStyle w:val="Heading1"/>
      </w:pPr>
      <w:bookmarkStart w:id="91" w:name="_Toc150334784"/>
      <w:bookmarkStart w:id="92" w:name="_Toc157429581"/>
      <w:r>
        <w:lastRenderedPageBreak/>
        <w:t>Affected Environment</w:t>
      </w:r>
      <w:bookmarkEnd w:id="91"/>
      <w:bookmarkEnd w:id="92"/>
    </w:p>
    <w:p w14:paraId="00EAF468" w14:textId="77777777" w:rsidR="007163FE" w:rsidRDefault="007163FE" w:rsidP="007163FE">
      <w:pPr>
        <w:pStyle w:val="IntroGuidanceHeading1"/>
      </w:pPr>
      <w:r>
        <w:t>GUIDANCE</w:t>
      </w:r>
    </w:p>
    <w:p w14:paraId="14C5BCDC" w14:textId="2986858D" w:rsidR="007163FE" w:rsidRPr="00612793" w:rsidRDefault="006E759A" w:rsidP="0099598E">
      <w:r w:rsidRPr="006E759A">
        <w:rPr>
          <w:color w:val="0000FF" w:themeColor="accent1"/>
        </w:rPr>
        <w:t>The Affected Environment gives the reader a concise description of current energy resources and consumption patterns at the state level and for the county(</w:t>
      </w:r>
      <w:proofErr w:type="spellStart"/>
      <w:r w:rsidRPr="006E759A">
        <w:rPr>
          <w:color w:val="0000FF" w:themeColor="accent1"/>
        </w:rPr>
        <w:t>ies</w:t>
      </w:r>
      <w:proofErr w:type="spellEnd"/>
      <w:r w:rsidRPr="006E759A">
        <w:rPr>
          <w:color w:val="0000FF" w:themeColor="accent1"/>
        </w:rPr>
        <w:t>) in which the project is located</w:t>
      </w:r>
      <w:r w:rsidR="004C1161" w:rsidRPr="006E759A">
        <w:rPr>
          <w:color w:val="0000FF" w:themeColor="accent1"/>
        </w:rPr>
        <w:t xml:space="preserve">.  </w:t>
      </w:r>
      <w:r w:rsidRPr="006E759A">
        <w:rPr>
          <w:color w:val="0000FF" w:themeColor="accent1"/>
        </w:rPr>
        <w:t>It also describes conditions in the project study area that may influence energy consumption during construction and operation of the project.  A clear description of the setting helps to explain the context and intensity of</w:t>
      </w:r>
      <w:r w:rsidR="00E671A4">
        <w:rPr>
          <w:color w:val="0000FF" w:themeColor="accent1"/>
        </w:rPr>
        <w:t xml:space="preserve"> project-level</w:t>
      </w:r>
      <w:r w:rsidRPr="006E759A">
        <w:rPr>
          <w:color w:val="0000FF" w:themeColor="accent1"/>
        </w:rPr>
        <w:t xml:space="preserve"> </w:t>
      </w:r>
      <w:r w:rsidR="00E671A4">
        <w:rPr>
          <w:color w:val="0000FF" w:themeColor="accent1"/>
        </w:rPr>
        <w:t xml:space="preserve">energy consumption presented </w:t>
      </w:r>
      <w:r w:rsidR="0017033A">
        <w:rPr>
          <w:color w:val="0000FF" w:themeColor="accent1"/>
        </w:rPr>
        <w:t>later in the</w:t>
      </w:r>
      <w:r w:rsidR="00E671A4">
        <w:rPr>
          <w:color w:val="0000FF" w:themeColor="accent1"/>
        </w:rPr>
        <w:t xml:space="preserve"> EAR</w:t>
      </w:r>
      <w:r w:rsidR="007163FE">
        <w:rPr>
          <w:color w:val="0000FF" w:themeColor="accent1"/>
        </w:rPr>
        <w:t>.</w:t>
      </w:r>
    </w:p>
    <w:p w14:paraId="05159795" w14:textId="77777777" w:rsidR="0099598E" w:rsidRDefault="0099598E" w:rsidP="0099598E">
      <w:pPr>
        <w:pStyle w:val="Heading2"/>
      </w:pPr>
      <w:bookmarkStart w:id="93" w:name="_Toc150334785"/>
      <w:bookmarkStart w:id="94" w:name="_Toc157429582"/>
      <w:r>
        <w:t>Introduction</w:t>
      </w:r>
      <w:bookmarkEnd w:id="93"/>
      <w:bookmarkEnd w:id="94"/>
      <w:r>
        <w:t xml:space="preserve"> </w:t>
      </w:r>
    </w:p>
    <w:p w14:paraId="7A5F86C6" w14:textId="7E69311D" w:rsidR="0017033A" w:rsidRPr="00C31501" w:rsidRDefault="00C31501" w:rsidP="0099598E">
      <w:pPr>
        <w:rPr>
          <w:color w:val="FF0000"/>
        </w:rPr>
      </w:pPr>
      <w:r w:rsidRPr="00CD1F8D">
        <w:rPr>
          <w:color w:val="A50021" w:themeColor="accent2"/>
        </w:rPr>
        <w:t xml:space="preserve">Chapter 3, </w:t>
      </w:r>
      <w:r w:rsidRPr="00CD1F8D">
        <w:rPr>
          <w:i/>
          <w:iCs/>
          <w:color w:val="A50021" w:themeColor="accent2"/>
        </w:rPr>
        <w:t>Affected Environment</w:t>
      </w:r>
      <w:r w:rsidRPr="00CD1F8D">
        <w:rPr>
          <w:color w:val="A50021" w:themeColor="accent2"/>
        </w:rPr>
        <w:t xml:space="preserve">, describes </w:t>
      </w:r>
      <w:r w:rsidR="00FF0E71">
        <w:rPr>
          <w:color w:val="A50021" w:themeColor="accent2"/>
        </w:rPr>
        <w:t xml:space="preserve">the </w:t>
      </w:r>
      <w:r w:rsidRPr="00CD1F8D">
        <w:rPr>
          <w:color w:val="A50021" w:themeColor="accent2"/>
        </w:rPr>
        <w:t xml:space="preserve">physical setting for energy resources as it relates to the transportation sector and proposed project.  </w:t>
      </w:r>
      <w:r w:rsidRPr="005B0F4B">
        <w:rPr>
          <w:b/>
          <w:bCs/>
          <w:color w:val="0000FF" w:themeColor="accent1"/>
        </w:rPr>
        <w:t xml:space="preserve">[End </w:t>
      </w:r>
      <w:r>
        <w:rPr>
          <w:b/>
          <w:bCs/>
          <w:color w:val="0000FF" w:themeColor="accent1"/>
        </w:rPr>
        <w:t>boilerplate</w:t>
      </w:r>
      <w:r w:rsidRPr="005B0F4B">
        <w:rPr>
          <w:b/>
          <w:bCs/>
          <w:color w:val="0000FF" w:themeColor="accent1"/>
        </w:rPr>
        <w:t>]</w:t>
      </w:r>
    </w:p>
    <w:p w14:paraId="416D24F2" w14:textId="28FEA7CA" w:rsidR="0099598E" w:rsidRDefault="0099598E" w:rsidP="0099598E">
      <w:pPr>
        <w:pStyle w:val="Heading2"/>
      </w:pPr>
      <w:bookmarkStart w:id="95" w:name="_Toc150334786"/>
      <w:bookmarkStart w:id="96" w:name="_Toc157429583"/>
      <w:r>
        <w:t xml:space="preserve">State Energy Resources </w:t>
      </w:r>
      <w:r w:rsidR="00007B70">
        <w:t>and Consumption</w:t>
      </w:r>
      <w:bookmarkEnd w:id="95"/>
      <w:bookmarkEnd w:id="96"/>
    </w:p>
    <w:p w14:paraId="7939BA3B" w14:textId="77777777" w:rsidR="00EA30EC" w:rsidRDefault="00EA30EC" w:rsidP="00EA30EC">
      <w:pPr>
        <w:pStyle w:val="IntroGuidanceHeading1"/>
      </w:pPr>
      <w:r>
        <w:t>GUIDANCE</w:t>
      </w:r>
    </w:p>
    <w:p w14:paraId="0094D522" w14:textId="2326A4AF" w:rsidR="00EA30EC" w:rsidRDefault="00CD1D95" w:rsidP="0099598E">
      <w:pPr>
        <w:rPr>
          <w:color w:val="0000FF" w:themeColor="accent1"/>
        </w:rPr>
      </w:pPr>
      <w:r>
        <w:rPr>
          <w:color w:val="0000FF" w:themeColor="accent1"/>
        </w:rPr>
        <w:t>P</w:t>
      </w:r>
      <w:r w:rsidR="00E96352" w:rsidRPr="00E96352">
        <w:rPr>
          <w:color w:val="0000FF" w:themeColor="accent1"/>
        </w:rPr>
        <w:t>rovide an overview of state energy resources</w:t>
      </w:r>
      <w:r w:rsidR="004C1161" w:rsidRPr="00E96352">
        <w:rPr>
          <w:color w:val="0000FF" w:themeColor="accent1"/>
        </w:rPr>
        <w:t xml:space="preserve">.  </w:t>
      </w:r>
      <w:r w:rsidR="004F706C">
        <w:rPr>
          <w:color w:val="0000FF" w:themeColor="accent1"/>
        </w:rPr>
        <w:t>Obtain information</w:t>
      </w:r>
      <w:r w:rsidR="00E96352" w:rsidRPr="00E96352">
        <w:rPr>
          <w:color w:val="0000FF" w:themeColor="accent1"/>
        </w:rPr>
        <w:t xml:space="preserve"> </w:t>
      </w:r>
      <w:r w:rsidR="0019019B">
        <w:rPr>
          <w:color w:val="0000FF" w:themeColor="accent1"/>
        </w:rPr>
        <w:t>from</w:t>
      </w:r>
      <w:r w:rsidR="00E96352" w:rsidRPr="00E96352">
        <w:rPr>
          <w:color w:val="0000FF" w:themeColor="accent1"/>
        </w:rPr>
        <w:t xml:space="preserve"> the</w:t>
      </w:r>
      <w:r w:rsidR="0019019B">
        <w:rPr>
          <w:color w:val="0000FF" w:themeColor="accent1"/>
        </w:rPr>
        <w:t xml:space="preserve"> EIA’s</w:t>
      </w:r>
      <w:r w:rsidR="00E96352" w:rsidRPr="00E96352">
        <w:rPr>
          <w:color w:val="0000FF" w:themeColor="accent1"/>
        </w:rPr>
        <w:t xml:space="preserve"> California </w:t>
      </w:r>
      <w:hyperlink r:id="rId17" w:anchor="tabs-2" w:history="1">
        <w:r w:rsidR="008725EB" w:rsidRPr="008725EB">
          <w:rPr>
            <w:rStyle w:val="Hyperlink"/>
          </w:rPr>
          <w:t>Profile Over</w:t>
        </w:r>
        <w:r w:rsidR="008725EB" w:rsidRPr="008725EB">
          <w:rPr>
            <w:rStyle w:val="Hyperlink"/>
          </w:rPr>
          <w:t>v</w:t>
        </w:r>
        <w:r w:rsidR="008725EB" w:rsidRPr="008725EB">
          <w:rPr>
            <w:rStyle w:val="Hyperlink"/>
          </w:rPr>
          <w:t>iew</w:t>
        </w:r>
      </w:hyperlink>
      <w:r w:rsidR="008725EB">
        <w:rPr>
          <w:color w:val="0000FF" w:themeColor="accent1"/>
        </w:rPr>
        <w:t>.</w:t>
      </w:r>
      <w:r w:rsidR="00502DB6">
        <w:rPr>
          <w:color w:val="0000FF" w:themeColor="accent1"/>
        </w:rPr>
        <w:t xml:space="preserve"> </w:t>
      </w:r>
      <w:r w:rsidR="008725EB">
        <w:rPr>
          <w:color w:val="0000FF" w:themeColor="accent1"/>
        </w:rPr>
        <w:t xml:space="preserve"> </w:t>
      </w:r>
      <w:r w:rsidR="004F706C">
        <w:rPr>
          <w:color w:val="0000FF" w:themeColor="accent1"/>
        </w:rPr>
        <w:t xml:space="preserve">The following example </w:t>
      </w:r>
      <w:r w:rsidR="004F706C" w:rsidRPr="00E96352">
        <w:rPr>
          <w:color w:val="0000FF" w:themeColor="accent1"/>
        </w:rPr>
        <w:t xml:space="preserve">text </w:t>
      </w:r>
      <w:r w:rsidR="004F706C">
        <w:rPr>
          <w:color w:val="0000FF" w:themeColor="accent1"/>
        </w:rPr>
        <w:t>was</w:t>
      </w:r>
      <w:r w:rsidR="004F706C" w:rsidRPr="00E96352">
        <w:rPr>
          <w:color w:val="0000FF" w:themeColor="accent1"/>
        </w:rPr>
        <w:t xml:space="preserve"> developed </w:t>
      </w:r>
      <w:r w:rsidR="004F706C">
        <w:rPr>
          <w:color w:val="0000FF" w:themeColor="accent1"/>
        </w:rPr>
        <w:t>using</w:t>
      </w:r>
      <w:r w:rsidR="004F706C" w:rsidRPr="00E96352">
        <w:rPr>
          <w:color w:val="0000FF" w:themeColor="accent1"/>
        </w:rPr>
        <w:t xml:space="preserve"> data for the years 2021 and 2022.  </w:t>
      </w:r>
      <w:r>
        <w:rPr>
          <w:color w:val="0000FF" w:themeColor="accent1"/>
        </w:rPr>
        <w:t>Access the</w:t>
      </w:r>
      <w:r w:rsidR="004F706C">
        <w:rPr>
          <w:color w:val="0000FF" w:themeColor="accent1"/>
        </w:rPr>
        <w:t xml:space="preserve"> EIA’s</w:t>
      </w:r>
      <w:r>
        <w:rPr>
          <w:color w:val="0000FF" w:themeColor="accent1"/>
        </w:rPr>
        <w:t xml:space="preserve"> </w:t>
      </w:r>
      <w:r w:rsidR="0019019B">
        <w:rPr>
          <w:color w:val="0000FF" w:themeColor="accent1"/>
        </w:rPr>
        <w:t>website</w:t>
      </w:r>
      <w:r>
        <w:rPr>
          <w:color w:val="0000FF" w:themeColor="accent1"/>
        </w:rPr>
        <w:t xml:space="preserve"> and adapt the example text </w:t>
      </w:r>
      <w:r w:rsidR="009F2724">
        <w:rPr>
          <w:color w:val="0000FF" w:themeColor="accent1"/>
        </w:rPr>
        <w:t>to use</w:t>
      </w:r>
      <w:r w:rsidR="007970A0">
        <w:rPr>
          <w:color w:val="0000FF" w:themeColor="accent1"/>
        </w:rPr>
        <w:t xml:space="preserve"> </w:t>
      </w:r>
      <w:r>
        <w:rPr>
          <w:color w:val="0000FF" w:themeColor="accent1"/>
        </w:rPr>
        <w:t xml:space="preserve">the most </w:t>
      </w:r>
      <w:r w:rsidR="00B22AC8">
        <w:rPr>
          <w:color w:val="0000FF" w:themeColor="accent1"/>
        </w:rPr>
        <w:t>recent</w:t>
      </w:r>
      <w:r w:rsidR="007970A0">
        <w:rPr>
          <w:color w:val="0000FF" w:themeColor="accent1"/>
        </w:rPr>
        <w:t xml:space="preserve"> data</w:t>
      </w:r>
      <w:r>
        <w:rPr>
          <w:color w:val="0000FF" w:themeColor="accent1"/>
        </w:rPr>
        <w:t xml:space="preserve"> currently available.</w:t>
      </w:r>
    </w:p>
    <w:p w14:paraId="23D32275" w14:textId="36627E86" w:rsidR="004C0E8D" w:rsidRDefault="004C0E8D" w:rsidP="004C0E8D">
      <w:pPr>
        <w:rPr>
          <w:color w:val="0000FF" w:themeColor="accent1"/>
        </w:rPr>
      </w:pPr>
      <w:r w:rsidRPr="00472599">
        <w:rPr>
          <w:color w:val="800080" w:themeColor="accent3"/>
        </w:rPr>
        <w:t>California has a diverse portfolio of energy resources</w:t>
      </w:r>
      <w:r w:rsidR="004C1161" w:rsidRPr="00472599">
        <w:rPr>
          <w:color w:val="800080" w:themeColor="accent3"/>
        </w:rPr>
        <w:t xml:space="preserve">.  </w:t>
      </w:r>
      <w:r w:rsidRPr="00472599">
        <w:rPr>
          <w:color w:val="800080" w:themeColor="accent3"/>
        </w:rPr>
        <w:t>Excluding offshore areas, the state ranked seventh in the nation in crude oil production and third in oil</w:t>
      </w:r>
      <w:r w:rsidR="00FF0E71">
        <w:rPr>
          <w:color w:val="800080" w:themeColor="accent3"/>
        </w:rPr>
        <w:t>-</w:t>
      </w:r>
      <w:r w:rsidRPr="00472599">
        <w:rPr>
          <w:color w:val="800080" w:themeColor="accent3"/>
        </w:rPr>
        <w:t>refining capacity in 2022</w:t>
      </w:r>
      <w:r w:rsidR="004C1161" w:rsidRPr="00472599">
        <w:rPr>
          <w:color w:val="800080" w:themeColor="accent3"/>
        </w:rPr>
        <w:t xml:space="preserve">.  </w:t>
      </w:r>
      <w:r w:rsidRPr="00472599">
        <w:rPr>
          <w:color w:val="800080" w:themeColor="accent3"/>
        </w:rPr>
        <w:t xml:space="preserve">The state was the largest consumer of jet fuel </w:t>
      </w:r>
      <w:r w:rsidR="00CD1D95">
        <w:rPr>
          <w:color w:val="800080" w:themeColor="accent3"/>
        </w:rPr>
        <w:t xml:space="preserve">and renewable diesel </w:t>
      </w:r>
      <w:r w:rsidRPr="00472599">
        <w:rPr>
          <w:color w:val="800080" w:themeColor="accent3"/>
        </w:rPr>
        <w:t xml:space="preserve">and </w:t>
      </w:r>
      <w:r w:rsidR="00FF0E71">
        <w:rPr>
          <w:color w:val="800080" w:themeColor="accent3"/>
        </w:rPr>
        <w:t xml:space="preserve">the </w:t>
      </w:r>
      <w:r w:rsidRPr="00472599">
        <w:rPr>
          <w:color w:val="800080" w:themeColor="accent3"/>
        </w:rPr>
        <w:t xml:space="preserve">second-largest consumer of motor gasoline among the 50 states. </w:t>
      </w:r>
      <w:r w:rsidR="00CD1D95" w:rsidRPr="00472599">
        <w:rPr>
          <w:color w:val="800080" w:themeColor="accent3"/>
        </w:rPr>
        <w:t xml:space="preserve"> </w:t>
      </w:r>
      <w:r w:rsidRPr="00472599">
        <w:rPr>
          <w:color w:val="800080" w:themeColor="accent3"/>
        </w:rPr>
        <w:t>It was also the third-largest electricity consumer in the nation but only the fourth-largest electricity producer, requiring additional needed electricity be supplied by out-of-state generators</w:t>
      </w:r>
      <w:r w:rsidR="004C1161" w:rsidRPr="00472599">
        <w:rPr>
          <w:color w:val="800080" w:themeColor="accent3"/>
        </w:rPr>
        <w:t xml:space="preserve">.  </w:t>
      </w:r>
      <w:r w:rsidR="00CD1D95">
        <w:rPr>
          <w:color w:val="800080" w:themeColor="accent3"/>
        </w:rPr>
        <w:t xml:space="preserve">Likewise, almost all of California’s renewable diesel is produced in other states or countries.  </w:t>
      </w:r>
      <w:r w:rsidRPr="00472599">
        <w:rPr>
          <w:color w:val="800080" w:themeColor="accent3"/>
        </w:rPr>
        <w:t>Renewable resources</w:t>
      </w:r>
      <w:r w:rsidRPr="00472599">
        <w:rPr>
          <w:color w:val="800080" w:themeColor="accent3"/>
          <w:vertAlign w:val="superscript"/>
        </w:rPr>
        <w:footnoteReference w:id="1"/>
      </w:r>
      <w:r w:rsidRPr="00472599">
        <w:rPr>
          <w:color w:val="800080" w:themeColor="accent3"/>
        </w:rPr>
        <w:t xml:space="preserve"> accounted for 49% of California’s in-state electricity generation in 2022</w:t>
      </w:r>
      <w:r w:rsidR="004C1161" w:rsidRPr="00472599">
        <w:rPr>
          <w:color w:val="800080" w:themeColor="accent3"/>
        </w:rPr>
        <w:t xml:space="preserve">.  </w:t>
      </w:r>
      <w:r w:rsidRPr="00472599">
        <w:rPr>
          <w:color w:val="800080" w:themeColor="accent3"/>
        </w:rPr>
        <w:t>Though California is the most populous state, it had the fourth lowest per capita energy consumption (i.e., total energy consumption divided by the population) in the nation in 2021</w:t>
      </w:r>
      <w:r w:rsidR="004C1161" w:rsidRPr="00472599">
        <w:rPr>
          <w:color w:val="800080" w:themeColor="accent3"/>
        </w:rPr>
        <w:t xml:space="preserve">.  </w:t>
      </w:r>
      <w:r w:rsidRPr="00472599">
        <w:rPr>
          <w:color w:val="800080" w:themeColor="accent3"/>
        </w:rPr>
        <w:t xml:space="preserve">California’s relatively low per capita energy consumption is due in part to the state’s robust energy efficiency policies and legislation, as discussed in Chapter 2, </w:t>
      </w:r>
      <w:r w:rsidRPr="00472599">
        <w:rPr>
          <w:i/>
          <w:iCs/>
          <w:color w:val="800080" w:themeColor="accent3"/>
        </w:rPr>
        <w:t>Regulatory Setting</w:t>
      </w:r>
      <w:r w:rsidRPr="00472599">
        <w:rPr>
          <w:color w:val="800080" w:themeColor="accent3"/>
        </w:rPr>
        <w:t xml:space="preserve">. </w:t>
      </w:r>
      <w:r w:rsidR="00CD1D95" w:rsidRPr="00472599">
        <w:rPr>
          <w:color w:val="800080" w:themeColor="accent3"/>
        </w:rPr>
        <w:t xml:space="preserve"> </w:t>
      </w:r>
      <w:r w:rsidRPr="00472599">
        <w:rPr>
          <w:color w:val="800080" w:themeColor="accent3"/>
        </w:rPr>
        <w:t>(</w:t>
      </w:r>
      <w:r w:rsidR="00412315" w:rsidRPr="00472599">
        <w:rPr>
          <w:color w:val="800080" w:themeColor="accent3"/>
        </w:rPr>
        <w:t>EIA</w:t>
      </w:r>
      <w:r w:rsidRPr="00472599">
        <w:rPr>
          <w:color w:val="800080" w:themeColor="accent3"/>
        </w:rPr>
        <w:t xml:space="preserve"> 2023a</w:t>
      </w:r>
      <w:r w:rsidR="0019019B">
        <w:rPr>
          <w:color w:val="800080" w:themeColor="accent3"/>
        </w:rPr>
        <w:t>, 2023b</w:t>
      </w:r>
      <w:r w:rsidRPr="00472599">
        <w:rPr>
          <w:color w:val="800080" w:themeColor="accent3"/>
        </w:rPr>
        <w:t xml:space="preserve">.) </w:t>
      </w:r>
      <w:r w:rsidR="003D42E4" w:rsidRPr="00472599">
        <w:rPr>
          <w:color w:val="800080" w:themeColor="accent3"/>
        </w:rPr>
        <w:t xml:space="preserve"> </w:t>
      </w:r>
      <w:r w:rsidRPr="004C0E8D">
        <w:rPr>
          <w:b/>
          <w:bCs/>
          <w:color w:val="0000FF" w:themeColor="accent1"/>
        </w:rPr>
        <w:t xml:space="preserve">[End </w:t>
      </w:r>
      <w:r w:rsidR="00CD1D95">
        <w:rPr>
          <w:b/>
          <w:bCs/>
          <w:color w:val="0000FF" w:themeColor="accent1"/>
        </w:rPr>
        <w:t>example</w:t>
      </w:r>
      <w:r w:rsidRPr="004C0E8D">
        <w:rPr>
          <w:b/>
          <w:bCs/>
          <w:color w:val="0000FF" w:themeColor="accent1"/>
        </w:rPr>
        <w:t>]</w:t>
      </w:r>
      <w:r w:rsidRPr="004C0E8D">
        <w:rPr>
          <w:color w:val="0000FF" w:themeColor="accent1"/>
        </w:rPr>
        <w:t xml:space="preserve">  </w:t>
      </w:r>
    </w:p>
    <w:p w14:paraId="3921A9E4" w14:textId="77777777" w:rsidR="001E24D7" w:rsidRDefault="001E24D7" w:rsidP="001E24D7">
      <w:pPr>
        <w:pStyle w:val="IntroGuidanceHeading1"/>
      </w:pPr>
      <w:r>
        <w:t>GUIDANCE</w:t>
      </w:r>
    </w:p>
    <w:p w14:paraId="7C818921" w14:textId="584B5C7C" w:rsidR="004F706C" w:rsidRDefault="0019019B" w:rsidP="001E24D7">
      <w:pPr>
        <w:rPr>
          <w:color w:val="0000FF" w:themeColor="accent1"/>
        </w:rPr>
      </w:pPr>
      <w:r>
        <w:rPr>
          <w:color w:val="0000FF" w:themeColor="accent1"/>
        </w:rPr>
        <w:t>D</w:t>
      </w:r>
      <w:r w:rsidR="00C05F3F" w:rsidRPr="00C05F3F">
        <w:rPr>
          <w:color w:val="0000FF" w:themeColor="accent1"/>
        </w:rPr>
        <w:t>iscuss electrical energy resources and consumption trends relevant to the transportation sector</w:t>
      </w:r>
      <w:r w:rsidR="004C1161" w:rsidRPr="00C05F3F">
        <w:rPr>
          <w:color w:val="0000FF" w:themeColor="accent1"/>
        </w:rPr>
        <w:t xml:space="preserve">.  </w:t>
      </w:r>
    </w:p>
    <w:p w14:paraId="5B7F59C8" w14:textId="073E4BB2" w:rsidR="001E24D7" w:rsidRDefault="004F706C" w:rsidP="001E24D7">
      <w:pPr>
        <w:rPr>
          <w:color w:val="0000FF" w:themeColor="accent1"/>
        </w:rPr>
      </w:pPr>
      <w:r>
        <w:rPr>
          <w:color w:val="0000FF" w:themeColor="accent1"/>
        </w:rPr>
        <w:lastRenderedPageBreak/>
        <w:t>Obtain</w:t>
      </w:r>
      <w:r w:rsidR="00C05F3F" w:rsidRPr="00C05F3F">
        <w:rPr>
          <w:color w:val="0000FF" w:themeColor="accent1"/>
        </w:rPr>
        <w:t xml:space="preserve"> data </w:t>
      </w:r>
      <w:r w:rsidR="0019019B">
        <w:rPr>
          <w:color w:val="0000FF" w:themeColor="accent1"/>
        </w:rPr>
        <w:t>from</w:t>
      </w:r>
      <w:r w:rsidR="00C05F3F" w:rsidRPr="00C05F3F">
        <w:rPr>
          <w:color w:val="0000FF" w:themeColor="accent1"/>
        </w:rPr>
        <w:t xml:space="preserve"> the </w:t>
      </w:r>
      <w:r w:rsidR="00C05F3F">
        <w:rPr>
          <w:color w:val="0000FF" w:themeColor="accent1"/>
        </w:rPr>
        <w:t>CEC</w:t>
      </w:r>
      <w:r w:rsidR="00033537">
        <w:rPr>
          <w:color w:val="0000FF" w:themeColor="accent1"/>
        </w:rPr>
        <w:t xml:space="preserve">’s </w:t>
      </w:r>
      <w:hyperlink r:id="rId18" w:history="1">
        <w:r w:rsidR="00033537" w:rsidRPr="00033537">
          <w:rPr>
            <w:rStyle w:val="Hyperlink"/>
          </w:rPr>
          <w:t xml:space="preserve">Electric Generation Capacity </w:t>
        </w:r>
        <w:r w:rsidR="00033537" w:rsidRPr="00033537">
          <w:rPr>
            <w:rStyle w:val="Hyperlink"/>
          </w:rPr>
          <w:t>a</w:t>
        </w:r>
        <w:r w:rsidR="00033537" w:rsidRPr="00033537">
          <w:rPr>
            <w:rStyle w:val="Hyperlink"/>
          </w:rPr>
          <w:t>nd Energy</w:t>
        </w:r>
      </w:hyperlink>
      <w:r w:rsidR="00C05F3F" w:rsidRPr="00C05F3F">
        <w:rPr>
          <w:color w:val="0000FF" w:themeColor="accent1"/>
        </w:rPr>
        <w:t xml:space="preserve"> </w:t>
      </w:r>
      <w:r>
        <w:rPr>
          <w:color w:val="0000FF" w:themeColor="accent1"/>
        </w:rPr>
        <w:t>website</w:t>
      </w:r>
      <w:r w:rsidR="001E24D7">
        <w:rPr>
          <w:color w:val="0000FF" w:themeColor="accent1"/>
        </w:rPr>
        <w:t>.</w:t>
      </w:r>
      <w:r w:rsidR="009F2724" w:rsidRPr="009F2724">
        <w:rPr>
          <w:color w:val="0000FF" w:themeColor="accent1"/>
        </w:rPr>
        <w:t xml:space="preserve"> </w:t>
      </w:r>
      <w:r>
        <w:rPr>
          <w:color w:val="0000FF" w:themeColor="accent1"/>
        </w:rPr>
        <w:t xml:space="preserve"> The following example </w:t>
      </w:r>
      <w:r w:rsidRPr="00C05F3F">
        <w:rPr>
          <w:color w:val="0000FF" w:themeColor="accent1"/>
        </w:rPr>
        <w:t xml:space="preserve">text and Figure </w:t>
      </w:r>
      <w:r>
        <w:rPr>
          <w:color w:val="0000FF" w:themeColor="accent1"/>
        </w:rPr>
        <w:t>3-1</w:t>
      </w:r>
      <w:r w:rsidRPr="00C05F3F">
        <w:rPr>
          <w:color w:val="0000FF" w:themeColor="accent1"/>
        </w:rPr>
        <w:t xml:space="preserve"> are based on data through the year 2022.  </w:t>
      </w:r>
      <w:r w:rsidR="0019019B">
        <w:rPr>
          <w:color w:val="0000FF" w:themeColor="accent1"/>
        </w:rPr>
        <w:t xml:space="preserve">Access the </w:t>
      </w:r>
      <w:r>
        <w:rPr>
          <w:color w:val="0000FF" w:themeColor="accent1"/>
        </w:rPr>
        <w:t xml:space="preserve">CEC website </w:t>
      </w:r>
      <w:r w:rsidR="0019019B">
        <w:rPr>
          <w:color w:val="0000FF" w:themeColor="accent1"/>
        </w:rPr>
        <w:t>and adapt the example text to use the most recent data currently available.</w:t>
      </w:r>
    </w:p>
    <w:p w14:paraId="53525F1D" w14:textId="70B4835E" w:rsidR="00E9168A" w:rsidRPr="00472599" w:rsidRDefault="00E9168A" w:rsidP="00E9168A">
      <w:pPr>
        <w:rPr>
          <w:color w:val="800080" w:themeColor="accent3"/>
        </w:rPr>
      </w:pPr>
      <w:r w:rsidRPr="00472599">
        <w:rPr>
          <w:color w:val="800080" w:themeColor="accent3"/>
        </w:rPr>
        <w:t>The state’s electricity and transportation sectors are rapidly changing in response to climate policy and market drivers</w:t>
      </w:r>
      <w:r w:rsidR="004C1161" w:rsidRPr="00472599">
        <w:rPr>
          <w:color w:val="800080" w:themeColor="accent3"/>
        </w:rPr>
        <w:t xml:space="preserve">.  </w:t>
      </w:r>
      <w:r w:rsidRPr="00472599">
        <w:rPr>
          <w:color w:val="800080" w:themeColor="accent3"/>
        </w:rPr>
        <w:t xml:space="preserve">Over the past two decades, the </w:t>
      </w:r>
      <w:r w:rsidR="00E2021B" w:rsidRPr="00472599">
        <w:rPr>
          <w:color w:val="800080" w:themeColor="accent3"/>
        </w:rPr>
        <w:t xml:space="preserve">percentage </w:t>
      </w:r>
      <w:r w:rsidRPr="00472599">
        <w:rPr>
          <w:color w:val="800080" w:themeColor="accent3"/>
        </w:rPr>
        <w:t xml:space="preserve">of in-state electrical generating capacity of renewable resources has substantially increased, displacing capacity from natural gas and other non-renewable generating units. </w:t>
      </w:r>
      <w:r w:rsidR="0019019B" w:rsidRPr="00472599">
        <w:rPr>
          <w:color w:val="800080" w:themeColor="accent3"/>
        </w:rPr>
        <w:t xml:space="preserve"> </w:t>
      </w:r>
      <w:r w:rsidRPr="00472599">
        <w:rPr>
          <w:color w:val="800080" w:themeColor="accent3"/>
        </w:rPr>
        <w:t xml:space="preserve">In-state renewable capacity (in terms of installed megawatts) increased by 23% between 2001 and 2010 and by 193% between 2011 and 2022, or by 298% over the entire timeframe (2001 to 2022). </w:t>
      </w:r>
      <w:r w:rsidR="00412315" w:rsidRPr="00472599">
        <w:rPr>
          <w:color w:val="800080" w:themeColor="accent3"/>
        </w:rPr>
        <w:t xml:space="preserve"> </w:t>
      </w:r>
      <w:r w:rsidRPr="00472599">
        <w:rPr>
          <w:color w:val="800080" w:themeColor="accent3"/>
        </w:rPr>
        <w:t xml:space="preserve">Conversely, in-state capacity from natural gas, coal, and petroleum coke only increased by 27% over the same two decades and showed a 12% decline in the </w:t>
      </w:r>
      <w:r w:rsidR="00CD1F8D" w:rsidRPr="00472599">
        <w:rPr>
          <w:color w:val="800080" w:themeColor="accent3"/>
        </w:rPr>
        <w:t>latter</w:t>
      </w:r>
      <w:r w:rsidRPr="00472599">
        <w:rPr>
          <w:color w:val="800080" w:themeColor="accent3"/>
        </w:rPr>
        <w:t xml:space="preserve"> half of the period (2011 to 2022)</w:t>
      </w:r>
      <w:r w:rsidR="00F96A07">
        <w:rPr>
          <w:color w:val="800080" w:themeColor="accent3"/>
        </w:rPr>
        <w:t>.</w:t>
      </w:r>
      <w:r w:rsidR="004C1161" w:rsidRPr="00472599">
        <w:rPr>
          <w:color w:val="800080" w:themeColor="accent3"/>
        </w:rPr>
        <w:t xml:space="preserve">  </w:t>
      </w:r>
      <w:r w:rsidRPr="00472599">
        <w:rPr>
          <w:color w:val="800080" w:themeColor="accent3"/>
        </w:rPr>
        <w:t>Figure 3</w:t>
      </w:r>
      <w:r w:rsidR="00616413">
        <w:rPr>
          <w:color w:val="800080" w:themeColor="accent3"/>
        </w:rPr>
        <w:t>-1</w:t>
      </w:r>
      <w:r w:rsidRPr="00472599">
        <w:rPr>
          <w:color w:val="800080" w:themeColor="accent3"/>
        </w:rPr>
        <w:t xml:space="preserve"> illustrates this change in in-state electrical capacity</w:t>
      </w:r>
      <w:r w:rsidR="004C1161" w:rsidRPr="00472599">
        <w:rPr>
          <w:color w:val="800080" w:themeColor="accent3"/>
        </w:rPr>
        <w:t xml:space="preserve">.  </w:t>
      </w:r>
      <w:r w:rsidRPr="00472599">
        <w:rPr>
          <w:color w:val="800080" w:themeColor="accent3"/>
        </w:rPr>
        <w:t>(</w:t>
      </w:r>
      <w:r w:rsidR="00412315" w:rsidRPr="00472599">
        <w:rPr>
          <w:color w:val="800080" w:themeColor="accent3"/>
        </w:rPr>
        <w:t>CEC</w:t>
      </w:r>
      <w:r w:rsidRPr="00472599">
        <w:rPr>
          <w:color w:val="800080" w:themeColor="accent3"/>
        </w:rPr>
        <w:t xml:space="preserve"> 2023a.)</w:t>
      </w:r>
      <w:r w:rsidR="00C51DA6" w:rsidRPr="00472599">
        <w:rPr>
          <w:color w:val="800080" w:themeColor="accent3"/>
        </w:rPr>
        <w:t xml:space="preserve"> </w:t>
      </w:r>
    </w:p>
    <w:p w14:paraId="7755E41B" w14:textId="2B327F0B" w:rsidR="00E2021B" w:rsidRPr="00472599" w:rsidRDefault="00E2021B" w:rsidP="00F96A07">
      <w:pPr>
        <w:pStyle w:val="FigureTitle"/>
        <w:rPr>
          <w:color w:val="800080" w:themeColor="accent3"/>
        </w:rPr>
      </w:pPr>
      <w:bookmarkStart w:id="97" w:name="_Toc155852749"/>
      <w:r w:rsidRPr="00472599">
        <w:rPr>
          <w:color w:val="800080" w:themeColor="accent3"/>
        </w:rPr>
        <w:t xml:space="preserve">Figure </w:t>
      </w:r>
      <w:r w:rsidRPr="00472599">
        <w:rPr>
          <w:b w:val="0"/>
          <w:bCs w:val="0"/>
          <w:color w:val="800080" w:themeColor="accent3"/>
        </w:rPr>
        <w:fldChar w:fldCharType="begin"/>
      </w:r>
      <w:r w:rsidRPr="00472599">
        <w:rPr>
          <w:color w:val="800080" w:themeColor="accent3"/>
        </w:rPr>
        <w:instrText xml:space="preserve"> STYLEREF 1 \s </w:instrText>
      </w:r>
      <w:r w:rsidRPr="00472599">
        <w:rPr>
          <w:b w:val="0"/>
          <w:bCs w:val="0"/>
          <w:color w:val="800080" w:themeColor="accent3"/>
        </w:rPr>
        <w:fldChar w:fldCharType="separate"/>
      </w:r>
      <w:r w:rsidRPr="00472599">
        <w:rPr>
          <w:noProof/>
          <w:color w:val="800080" w:themeColor="accent3"/>
        </w:rPr>
        <w:t>3</w:t>
      </w:r>
      <w:r w:rsidRPr="00472599">
        <w:rPr>
          <w:b w:val="0"/>
          <w:bCs w:val="0"/>
          <w:noProof/>
          <w:color w:val="800080" w:themeColor="accent3"/>
        </w:rPr>
        <w:fldChar w:fldCharType="end"/>
      </w:r>
      <w:r w:rsidRPr="00472599">
        <w:rPr>
          <w:color w:val="800080" w:themeColor="accent3"/>
        </w:rPr>
        <w:noBreakHyphen/>
      </w:r>
      <w:r w:rsidRPr="00472599">
        <w:rPr>
          <w:b w:val="0"/>
          <w:bCs w:val="0"/>
          <w:color w:val="800080" w:themeColor="accent3"/>
        </w:rPr>
        <w:fldChar w:fldCharType="begin"/>
      </w:r>
      <w:r w:rsidRPr="00472599">
        <w:rPr>
          <w:color w:val="800080" w:themeColor="accent3"/>
        </w:rPr>
        <w:instrText xml:space="preserve"> SEQ Figure \* ARABIC \s 1 </w:instrText>
      </w:r>
      <w:r w:rsidRPr="00472599">
        <w:rPr>
          <w:b w:val="0"/>
          <w:bCs w:val="0"/>
          <w:color w:val="800080" w:themeColor="accent3"/>
        </w:rPr>
        <w:fldChar w:fldCharType="separate"/>
      </w:r>
      <w:r w:rsidRPr="00472599">
        <w:rPr>
          <w:noProof/>
          <w:color w:val="800080" w:themeColor="accent3"/>
        </w:rPr>
        <w:t>1</w:t>
      </w:r>
      <w:r w:rsidRPr="00472599">
        <w:rPr>
          <w:b w:val="0"/>
          <w:bCs w:val="0"/>
          <w:noProof/>
          <w:color w:val="800080" w:themeColor="accent3"/>
        </w:rPr>
        <w:fldChar w:fldCharType="end"/>
      </w:r>
      <w:r w:rsidRPr="00472599">
        <w:rPr>
          <w:color w:val="800080" w:themeColor="accent3"/>
        </w:rPr>
        <w:t>.  Installed In-State Electric Generation Capacity by Fuel Type</w:t>
      </w:r>
      <w:bookmarkEnd w:id="97"/>
      <w:r w:rsidRPr="00472599">
        <w:rPr>
          <w:color w:val="800080" w:themeColor="accent3"/>
        </w:rPr>
        <w:t xml:space="preserve"> </w:t>
      </w:r>
    </w:p>
    <w:p w14:paraId="20D2C455" w14:textId="58111FBB" w:rsidR="002E55E2" w:rsidRDefault="00FF3ADD" w:rsidP="00F96A07">
      <w:r>
        <w:rPr>
          <w:noProof/>
        </w:rPr>
        <w:drawing>
          <wp:inline distT="0" distB="0" distL="0" distR="0" wp14:anchorId="11F122A5" wp14:editId="195999CD">
            <wp:extent cx="5943600" cy="3957320"/>
            <wp:effectExtent l="0" t="0" r="0" b="5080"/>
            <wp:docPr id="1072910475" name="Picture 1" descr="A graph showing the installed in-state electric generation capacity by fuel type for the years 2001 to 2022. The information shown in the figure is summarized in the preceding paragraph.  If you need additional accessibility assistance, please contact env.webmaster@dot.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10475" name="Picture 1" descr="A graph showing the installed in-state electric generation capacity by fuel type for the years 2001 to 2022. The information shown in the figure is summarized in the preceding paragraph.  If you need additional accessibility assistance, please contact env.webmaster@dot.ca.gov."/>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957320"/>
                    </a:xfrm>
                    <a:prstGeom prst="rect">
                      <a:avLst/>
                    </a:prstGeom>
                  </pic:spPr>
                </pic:pic>
              </a:graphicData>
            </a:graphic>
          </wp:inline>
        </w:drawing>
      </w:r>
    </w:p>
    <w:p w14:paraId="37D93957" w14:textId="03A75370" w:rsidR="006D67F7" w:rsidRDefault="006D67F7" w:rsidP="000D1CAC">
      <w:pPr>
        <w:pStyle w:val="IntroGuidanceHeading1"/>
        <w:rPr>
          <w:color w:val="0000FF" w:themeColor="accent1"/>
        </w:rPr>
      </w:pPr>
      <w:r w:rsidRPr="0019019B">
        <w:rPr>
          <w:color w:val="0000FF" w:themeColor="accent1"/>
        </w:rPr>
        <w:t>[End example]</w:t>
      </w:r>
    </w:p>
    <w:p w14:paraId="38ED5E37" w14:textId="7FB402B8" w:rsidR="000D1CAC" w:rsidRDefault="000D1CAC" w:rsidP="000D1CAC">
      <w:pPr>
        <w:pStyle w:val="IntroGuidanceHeading1"/>
      </w:pPr>
      <w:r>
        <w:t>GUIDANCE</w:t>
      </w:r>
    </w:p>
    <w:p w14:paraId="270EE774" w14:textId="0B4B5AFC" w:rsidR="00C357CB" w:rsidRDefault="0019019B" w:rsidP="000D1CAC">
      <w:pPr>
        <w:rPr>
          <w:color w:val="0000FF" w:themeColor="accent1"/>
        </w:rPr>
      </w:pPr>
      <w:r>
        <w:rPr>
          <w:color w:val="0000FF" w:themeColor="accent1"/>
        </w:rPr>
        <w:t>D</w:t>
      </w:r>
      <w:r w:rsidR="005B4E75" w:rsidRPr="005B4E75">
        <w:rPr>
          <w:color w:val="0000FF" w:themeColor="accent1"/>
        </w:rPr>
        <w:t>iscuss light-duty vehicle population trends by fuel type</w:t>
      </w:r>
      <w:r w:rsidR="004C1161" w:rsidRPr="005B4E75">
        <w:rPr>
          <w:color w:val="0000FF" w:themeColor="accent1"/>
        </w:rPr>
        <w:t xml:space="preserve">.  </w:t>
      </w:r>
    </w:p>
    <w:p w14:paraId="2E730827" w14:textId="01F7E745" w:rsidR="00C357CB" w:rsidRDefault="00C357CB" w:rsidP="000D1CAC">
      <w:pPr>
        <w:rPr>
          <w:color w:val="0000FF" w:themeColor="accent1"/>
        </w:rPr>
      </w:pPr>
      <w:r>
        <w:rPr>
          <w:color w:val="0000FF" w:themeColor="accent1"/>
        </w:rPr>
        <w:lastRenderedPageBreak/>
        <w:t>Obtain</w:t>
      </w:r>
      <w:r w:rsidR="005B4E75" w:rsidRPr="005B4E75">
        <w:rPr>
          <w:color w:val="0000FF" w:themeColor="accent1"/>
        </w:rPr>
        <w:t xml:space="preserve"> data </w:t>
      </w:r>
      <w:r w:rsidR="0019019B">
        <w:rPr>
          <w:color w:val="0000FF" w:themeColor="accent1"/>
        </w:rPr>
        <w:t>from</w:t>
      </w:r>
      <w:r w:rsidR="005B4E75" w:rsidRPr="005B4E75">
        <w:rPr>
          <w:color w:val="0000FF" w:themeColor="accent1"/>
        </w:rPr>
        <w:t xml:space="preserve"> the </w:t>
      </w:r>
      <w:r w:rsidR="005B4E75">
        <w:rPr>
          <w:color w:val="0000FF" w:themeColor="accent1"/>
        </w:rPr>
        <w:t xml:space="preserve">CEC’s </w:t>
      </w:r>
      <w:hyperlink r:id="rId20" w:history="1">
        <w:r w:rsidR="00AC40E0" w:rsidRPr="00AC40E0">
          <w:rPr>
            <w:rStyle w:val="Hyperlink"/>
          </w:rPr>
          <w:t>Light-Dut</w:t>
        </w:r>
        <w:r w:rsidR="00AC40E0" w:rsidRPr="00AC40E0">
          <w:rPr>
            <w:rStyle w:val="Hyperlink"/>
          </w:rPr>
          <w:t>y</w:t>
        </w:r>
        <w:r w:rsidR="00AC40E0" w:rsidRPr="00AC40E0">
          <w:rPr>
            <w:rStyle w:val="Hyperlink"/>
          </w:rPr>
          <w:t xml:space="preserve"> Vehicle Population in California</w:t>
        </w:r>
      </w:hyperlink>
      <w:r w:rsidR="00AC40E0">
        <w:rPr>
          <w:color w:val="0000FF" w:themeColor="accent1"/>
        </w:rPr>
        <w:t xml:space="preserve"> </w:t>
      </w:r>
      <w:r w:rsidR="00723F00">
        <w:rPr>
          <w:color w:val="0000FF" w:themeColor="accent1"/>
        </w:rPr>
        <w:t xml:space="preserve">and </w:t>
      </w:r>
      <w:hyperlink r:id="rId21" w:history="1">
        <w:r w:rsidR="00723F00" w:rsidRPr="00723F00">
          <w:rPr>
            <w:rStyle w:val="Hyperlink"/>
          </w:rPr>
          <w:t>Medium</w:t>
        </w:r>
        <w:r w:rsidR="00723F00" w:rsidRPr="00723F00">
          <w:rPr>
            <w:rStyle w:val="Hyperlink"/>
          </w:rPr>
          <w:t>-</w:t>
        </w:r>
        <w:r w:rsidR="00723F00" w:rsidRPr="00723F00">
          <w:rPr>
            <w:rStyle w:val="Hyperlink"/>
          </w:rPr>
          <w:t xml:space="preserve"> &amp; Heavy-Duty Vehicle Population</w:t>
        </w:r>
      </w:hyperlink>
      <w:r w:rsidR="00723F00">
        <w:rPr>
          <w:color w:val="0000FF" w:themeColor="accent1"/>
        </w:rPr>
        <w:t xml:space="preserve"> databases</w:t>
      </w:r>
      <w:r w:rsidR="000D1CAC">
        <w:rPr>
          <w:color w:val="0000FF" w:themeColor="accent1"/>
        </w:rPr>
        <w:t>.</w:t>
      </w:r>
      <w:r w:rsidR="000D1CAC" w:rsidRPr="009F2724">
        <w:rPr>
          <w:color w:val="0000FF" w:themeColor="accent1"/>
        </w:rPr>
        <w:t xml:space="preserve"> </w:t>
      </w:r>
      <w:r>
        <w:rPr>
          <w:color w:val="0000FF" w:themeColor="accent1"/>
        </w:rPr>
        <w:t xml:space="preserve"> Filter </w:t>
      </w:r>
      <w:r w:rsidR="00723F00">
        <w:rPr>
          <w:color w:val="0000FF" w:themeColor="accent1"/>
        </w:rPr>
        <w:t xml:space="preserve">each database </w:t>
      </w:r>
      <w:r>
        <w:rPr>
          <w:color w:val="0000FF" w:themeColor="accent1"/>
        </w:rPr>
        <w:t>to the latest year available.</w:t>
      </w:r>
    </w:p>
    <w:p w14:paraId="53BB058E" w14:textId="110F64D6" w:rsidR="00C357CB" w:rsidRDefault="00C357CB" w:rsidP="000D1CAC">
      <w:pPr>
        <w:rPr>
          <w:color w:val="0000FF" w:themeColor="accent1"/>
        </w:rPr>
      </w:pPr>
      <w:r>
        <w:rPr>
          <w:color w:val="0000FF" w:themeColor="accent1"/>
        </w:rPr>
        <w:t xml:space="preserve">The following example </w:t>
      </w:r>
      <w:r w:rsidRPr="00C05F3F">
        <w:rPr>
          <w:color w:val="0000FF" w:themeColor="accent1"/>
        </w:rPr>
        <w:t xml:space="preserve">text and </w:t>
      </w:r>
      <w:r w:rsidRPr="005B4E75">
        <w:rPr>
          <w:color w:val="0000FF" w:themeColor="accent1"/>
        </w:rPr>
        <w:t xml:space="preserve">Figure </w:t>
      </w:r>
      <w:r>
        <w:rPr>
          <w:color w:val="0000FF" w:themeColor="accent1"/>
        </w:rPr>
        <w:t>3-</w:t>
      </w:r>
      <w:r w:rsidRPr="005B4E75">
        <w:rPr>
          <w:color w:val="0000FF" w:themeColor="accent1"/>
        </w:rPr>
        <w:t xml:space="preserve">2 are based on data through the year 2022.  </w:t>
      </w:r>
      <w:r>
        <w:rPr>
          <w:color w:val="0000FF" w:themeColor="accent1"/>
        </w:rPr>
        <w:t xml:space="preserve">Access the </w:t>
      </w:r>
      <w:r w:rsidR="004F706C">
        <w:rPr>
          <w:color w:val="0000FF" w:themeColor="accent1"/>
        </w:rPr>
        <w:t xml:space="preserve">CEC </w:t>
      </w:r>
      <w:r>
        <w:rPr>
          <w:color w:val="0000FF" w:themeColor="accent1"/>
        </w:rPr>
        <w:t>database</w:t>
      </w:r>
      <w:r w:rsidR="00723F00">
        <w:rPr>
          <w:color w:val="0000FF" w:themeColor="accent1"/>
        </w:rPr>
        <w:t>s</w:t>
      </w:r>
      <w:r>
        <w:rPr>
          <w:color w:val="0000FF" w:themeColor="accent1"/>
        </w:rPr>
        <w:t xml:space="preserve"> and adapt the example text to use the most recent data currently available.</w:t>
      </w:r>
    </w:p>
    <w:p w14:paraId="4C02E39C" w14:textId="10A53BA5" w:rsidR="00CD1F8D" w:rsidRPr="000F4694" w:rsidRDefault="00CD1F8D" w:rsidP="00CD1F8D">
      <w:pPr>
        <w:rPr>
          <w:color w:val="800080" w:themeColor="accent3"/>
        </w:rPr>
      </w:pPr>
      <w:r w:rsidRPr="00472599">
        <w:rPr>
          <w:color w:val="800080" w:themeColor="accent3"/>
        </w:rPr>
        <w:t>Energy use in the transportation sector accounted for approximately 38% of total California energy consumption in 2022, the largest of any end-use sector (</w:t>
      </w:r>
      <w:r w:rsidR="00412315" w:rsidRPr="00472599">
        <w:rPr>
          <w:color w:val="800080" w:themeColor="accent3"/>
        </w:rPr>
        <w:t>EIA</w:t>
      </w:r>
      <w:r w:rsidRPr="00472599">
        <w:rPr>
          <w:color w:val="800080" w:themeColor="accent3"/>
        </w:rPr>
        <w:t xml:space="preserve"> 2023a)</w:t>
      </w:r>
      <w:r w:rsidR="004C1161" w:rsidRPr="00472599">
        <w:rPr>
          <w:color w:val="800080" w:themeColor="accent3"/>
        </w:rPr>
        <w:t xml:space="preserve">.  </w:t>
      </w:r>
      <w:r w:rsidRPr="00472599">
        <w:rPr>
          <w:color w:val="800080" w:themeColor="accent3"/>
        </w:rPr>
        <w:t xml:space="preserve">While gasoline and diesel currently represent the largest </w:t>
      </w:r>
      <w:r w:rsidR="00E2021B" w:rsidRPr="00472599">
        <w:rPr>
          <w:color w:val="800080" w:themeColor="accent3"/>
        </w:rPr>
        <w:t xml:space="preserve">percentage </w:t>
      </w:r>
      <w:r w:rsidRPr="00472599">
        <w:rPr>
          <w:color w:val="800080" w:themeColor="accent3"/>
        </w:rPr>
        <w:t>of transportation energy use, like the electricity sector discussed above, these fuels are being displaced by electricity and renewable alternatives</w:t>
      </w:r>
      <w:r w:rsidR="004C1161" w:rsidRPr="00472599">
        <w:rPr>
          <w:color w:val="800080" w:themeColor="accent3"/>
        </w:rPr>
        <w:t xml:space="preserve">.  </w:t>
      </w:r>
      <w:r w:rsidRPr="00472599">
        <w:rPr>
          <w:color w:val="800080" w:themeColor="accent3"/>
        </w:rPr>
        <w:t>As shown in Figure 3-2, the relative population of gasoline- and diesel-powered light-duty vehicles in California declined steadily between 2010 and 2022</w:t>
      </w:r>
      <w:r w:rsidR="004C1161" w:rsidRPr="00472599">
        <w:rPr>
          <w:color w:val="800080" w:themeColor="accent3"/>
        </w:rPr>
        <w:t xml:space="preserve">.  </w:t>
      </w:r>
      <w:r w:rsidRPr="00472599">
        <w:rPr>
          <w:color w:val="800080" w:themeColor="accent3"/>
        </w:rPr>
        <w:t xml:space="preserve">Conversely, the </w:t>
      </w:r>
      <w:r w:rsidR="00E2021B" w:rsidRPr="00472599">
        <w:rPr>
          <w:color w:val="800080" w:themeColor="accent3"/>
        </w:rPr>
        <w:t xml:space="preserve">percentage </w:t>
      </w:r>
      <w:r w:rsidRPr="00472599">
        <w:rPr>
          <w:color w:val="800080" w:themeColor="accent3"/>
        </w:rPr>
        <w:t xml:space="preserve">of battery electric, plug-in battery electric, and fuel cell vehicles increased from less than 0.01% of the total light-duty population in 2010 to nearly 3.8% in 2022. </w:t>
      </w:r>
      <w:r w:rsidR="00412315" w:rsidRPr="00472599">
        <w:rPr>
          <w:color w:val="800080" w:themeColor="accent3"/>
        </w:rPr>
        <w:t xml:space="preserve"> </w:t>
      </w:r>
      <w:r w:rsidRPr="00472599">
        <w:rPr>
          <w:color w:val="800080" w:themeColor="accent3"/>
        </w:rPr>
        <w:t>(</w:t>
      </w:r>
      <w:r w:rsidR="00412315" w:rsidRPr="00472599">
        <w:rPr>
          <w:color w:val="800080" w:themeColor="accent3"/>
        </w:rPr>
        <w:t>CEC</w:t>
      </w:r>
      <w:r w:rsidRPr="00472599">
        <w:rPr>
          <w:color w:val="800080" w:themeColor="accent3"/>
        </w:rPr>
        <w:t xml:space="preserve"> 2023b.)</w:t>
      </w:r>
      <w:r w:rsidR="00723F00">
        <w:rPr>
          <w:color w:val="800080" w:themeColor="accent3"/>
        </w:rPr>
        <w:t xml:space="preserve">  Equivalent historic</w:t>
      </w:r>
      <w:r w:rsidR="00800217">
        <w:rPr>
          <w:color w:val="800080" w:themeColor="accent3"/>
        </w:rPr>
        <w:t>al</w:t>
      </w:r>
      <w:r w:rsidR="00723F00">
        <w:rPr>
          <w:color w:val="800080" w:themeColor="accent3"/>
        </w:rPr>
        <w:t xml:space="preserve"> population data are not currently available for medium- and heavy-duty vehicles.  However, there were 2,320 zero-emission medium- and heavy-duty vehicles registered with the California Department of Motor Vehicles in 2022 (CEC 2023c).</w:t>
      </w:r>
    </w:p>
    <w:p w14:paraId="1764DF88" w14:textId="41147CA7" w:rsidR="00E2021B" w:rsidRPr="00AE0725" w:rsidRDefault="00E2021B" w:rsidP="00E2021B">
      <w:pPr>
        <w:pStyle w:val="FigureTitle"/>
        <w:jc w:val="right"/>
        <w:rPr>
          <w:color w:val="0000FF" w:themeColor="accent1"/>
        </w:rPr>
      </w:pPr>
      <w:bookmarkStart w:id="98" w:name="_Toc155852750"/>
      <w:r w:rsidRPr="000F4694">
        <w:rPr>
          <w:color w:val="800080" w:themeColor="accent3"/>
        </w:rPr>
        <w:t xml:space="preserve">Figure </w:t>
      </w:r>
      <w:r w:rsidRPr="00472599">
        <w:rPr>
          <w:b w:val="0"/>
          <w:bCs w:val="0"/>
          <w:color w:val="800080" w:themeColor="accent3"/>
        </w:rPr>
        <w:fldChar w:fldCharType="begin"/>
      </w:r>
      <w:r w:rsidRPr="00472599">
        <w:rPr>
          <w:color w:val="800080" w:themeColor="accent3"/>
        </w:rPr>
        <w:instrText xml:space="preserve"> STYLEREF 1 \s </w:instrText>
      </w:r>
      <w:r w:rsidRPr="00472599">
        <w:rPr>
          <w:b w:val="0"/>
          <w:bCs w:val="0"/>
          <w:color w:val="800080" w:themeColor="accent3"/>
        </w:rPr>
        <w:fldChar w:fldCharType="separate"/>
      </w:r>
      <w:r w:rsidRPr="00472599">
        <w:rPr>
          <w:noProof/>
          <w:color w:val="800080" w:themeColor="accent3"/>
        </w:rPr>
        <w:t>3</w:t>
      </w:r>
      <w:r w:rsidRPr="00472599">
        <w:rPr>
          <w:b w:val="0"/>
          <w:bCs w:val="0"/>
          <w:noProof/>
          <w:color w:val="800080" w:themeColor="accent3"/>
        </w:rPr>
        <w:fldChar w:fldCharType="end"/>
      </w:r>
      <w:r w:rsidRPr="00472599">
        <w:rPr>
          <w:color w:val="800080" w:themeColor="accent3"/>
        </w:rPr>
        <w:noBreakHyphen/>
      </w:r>
      <w:r w:rsidRPr="00472599">
        <w:rPr>
          <w:b w:val="0"/>
          <w:bCs w:val="0"/>
          <w:color w:val="800080" w:themeColor="accent3"/>
        </w:rPr>
        <w:fldChar w:fldCharType="begin"/>
      </w:r>
      <w:r w:rsidRPr="00472599">
        <w:rPr>
          <w:color w:val="800080" w:themeColor="accent3"/>
        </w:rPr>
        <w:instrText xml:space="preserve"> SEQ Figure \* ARABIC \s 1 </w:instrText>
      </w:r>
      <w:r w:rsidRPr="00472599">
        <w:rPr>
          <w:b w:val="0"/>
          <w:bCs w:val="0"/>
          <w:color w:val="800080" w:themeColor="accent3"/>
        </w:rPr>
        <w:fldChar w:fldCharType="separate"/>
      </w:r>
      <w:r w:rsidRPr="00472599">
        <w:rPr>
          <w:noProof/>
          <w:color w:val="800080" w:themeColor="accent3"/>
        </w:rPr>
        <w:t>2</w:t>
      </w:r>
      <w:r w:rsidRPr="00472599">
        <w:rPr>
          <w:b w:val="0"/>
          <w:bCs w:val="0"/>
          <w:noProof/>
          <w:color w:val="800080" w:themeColor="accent3"/>
        </w:rPr>
        <w:fldChar w:fldCharType="end"/>
      </w:r>
      <w:r w:rsidRPr="00472599">
        <w:rPr>
          <w:color w:val="800080" w:themeColor="accent3"/>
        </w:rPr>
        <w:t>.  Light-Duty Vehicle Population in California by Fuel Type</w:t>
      </w:r>
      <w:bookmarkEnd w:id="98"/>
      <w:r w:rsidRPr="00472599">
        <w:rPr>
          <w:color w:val="800080" w:themeColor="accent3"/>
        </w:rPr>
        <w:t xml:space="preserve"> </w:t>
      </w:r>
    </w:p>
    <w:p w14:paraId="6F0EAB93" w14:textId="6407521B" w:rsidR="00CD1F8D" w:rsidRDefault="00425174" w:rsidP="00616413">
      <w:pPr>
        <w:pStyle w:val="IntroGuidanceHeading1"/>
        <w:spacing w:after="120"/>
        <w:rPr>
          <w:color w:val="0000FF" w:themeColor="accent1"/>
        </w:rPr>
      </w:pPr>
      <w:r>
        <w:rPr>
          <w:noProof/>
          <w:color w:val="0000FF" w:themeColor="accent1"/>
        </w:rPr>
        <w:drawing>
          <wp:inline distT="0" distB="0" distL="0" distR="0" wp14:anchorId="326815CE" wp14:editId="624E2E90">
            <wp:extent cx="5943600" cy="2945130"/>
            <wp:effectExtent l="0" t="0" r="0" b="7620"/>
            <wp:docPr id="291315381" name="Picture 2" descr="A graphic showing the light-duty vehicle population in California by fuel type for the years 2010 to 2022. The information shown in the figure is summarized in the preceding paragraph.  If you need additional accessibility assistance, please contact env.webmaster@dot.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15381" name="Picture 2" descr="A graphic showing the light-duty vehicle population in California by fuel type for the years 2010 to 2022. The information shown in the figure is summarized in the preceding paragraph.  If you need additional accessibility assistance, please contact env.webmaster@dot.ca.gov."/>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945130"/>
                    </a:xfrm>
                    <a:prstGeom prst="rect">
                      <a:avLst/>
                    </a:prstGeom>
                  </pic:spPr>
                </pic:pic>
              </a:graphicData>
            </a:graphic>
          </wp:inline>
        </w:drawing>
      </w:r>
    </w:p>
    <w:p w14:paraId="477E4E58" w14:textId="4E8264C7" w:rsidR="005E6542" w:rsidRDefault="005E6542" w:rsidP="00616413">
      <w:pPr>
        <w:pStyle w:val="IntroGuidanceHeading1"/>
        <w:spacing w:after="120"/>
        <w:rPr>
          <w:color w:val="0000FF" w:themeColor="accent1"/>
        </w:rPr>
      </w:pPr>
      <w:r w:rsidRPr="00FF3A78">
        <w:rPr>
          <w:color w:val="0000FF" w:themeColor="accent1"/>
        </w:rPr>
        <w:t xml:space="preserve">[End </w:t>
      </w:r>
      <w:r>
        <w:rPr>
          <w:color w:val="0000FF" w:themeColor="accent1"/>
        </w:rPr>
        <w:t>example</w:t>
      </w:r>
      <w:r w:rsidRPr="00AE0725">
        <w:rPr>
          <w:color w:val="0000FF" w:themeColor="accent1"/>
        </w:rPr>
        <w:t>]</w:t>
      </w:r>
    </w:p>
    <w:p w14:paraId="3CE25885" w14:textId="705D5477" w:rsidR="00425174" w:rsidRDefault="00425174" w:rsidP="00425174">
      <w:pPr>
        <w:pStyle w:val="IntroGuidanceHeading1"/>
      </w:pPr>
      <w:r>
        <w:t>GUIDANCE</w:t>
      </w:r>
    </w:p>
    <w:p w14:paraId="53067651" w14:textId="5EDBBF4F" w:rsidR="00C357CB" w:rsidRDefault="0019019B" w:rsidP="00425174">
      <w:pPr>
        <w:rPr>
          <w:color w:val="0000FF" w:themeColor="accent1"/>
        </w:rPr>
      </w:pPr>
      <w:r>
        <w:rPr>
          <w:color w:val="0000FF" w:themeColor="accent1"/>
        </w:rPr>
        <w:t>D</w:t>
      </w:r>
      <w:r w:rsidR="00A85010" w:rsidRPr="00A85010">
        <w:rPr>
          <w:color w:val="0000FF" w:themeColor="accent1"/>
        </w:rPr>
        <w:t>iscuss trends in zero-emission light-duty vehicle sales and diesel fuel</w:t>
      </w:r>
      <w:r w:rsidR="004C1161" w:rsidRPr="00A85010">
        <w:rPr>
          <w:color w:val="0000FF" w:themeColor="accent1"/>
        </w:rPr>
        <w:t xml:space="preserve">.  </w:t>
      </w:r>
    </w:p>
    <w:p w14:paraId="3E8EE565" w14:textId="25042AC4" w:rsidR="00C357CB" w:rsidRDefault="00C357CB" w:rsidP="00425174">
      <w:pPr>
        <w:rPr>
          <w:color w:val="0000FF" w:themeColor="accent1"/>
        </w:rPr>
      </w:pPr>
      <w:r>
        <w:rPr>
          <w:color w:val="0000FF" w:themeColor="accent1"/>
        </w:rPr>
        <w:t>Obtain</w:t>
      </w:r>
      <w:r w:rsidR="00A85010" w:rsidRPr="00A85010">
        <w:rPr>
          <w:color w:val="0000FF" w:themeColor="accent1"/>
        </w:rPr>
        <w:t xml:space="preserve"> </w:t>
      </w:r>
      <w:r w:rsidRPr="00A85010">
        <w:rPr>
          <w:color w:val="0000FF" w:themeColor="accent1"/>
        </w:rPr>
        <w:t xml:space="preserve">light-duty </w:t>
      </w:r>
      <w:r>
        <w:rPr>
          <w:color w:val="0000FF" w:themeColor="accent1"/>
        </w:rPr>
        <w:t xml:space="preserve">annual sales </w:t>
      </w:r>
      <w:r w:rsidR="00A85010" w:rsidRPr="00A85010">
        <w:rPr>
          <w:color w:val="0000FF" w:themeColor="accent1"/>
        </w:rPr>
        <w:t xml:space="preserve">data </w:t>
      </w:r>
      <w:r w:rsidR="0019019B">
        <w:rPr>
          <w:color w:val="0000FF" w:themeColor="accent1"/>
        </w:rPr>
        <w:t>from</w:t>
      </w:r>
      <w:r w:rsidR="00A85010" w:rsidRPr="00A85010">
        <w:rPr>
          <w:color w:val="0000FF" w:themeColor="accent1"/>
        </w:rPr>
        <w:t xml:space="preserve"> </w:t>
      </w:r>
      <w:r w:rsidR="00425174" w:rsidRPr="005B4E75">
        <w:rPr>
          <w:color w:val="0000FF" w:themeColor="accent1"/>
        </w:rPr>
        <w:t xml:space="preserve">the </w:t>
      </w:r>
      <w:r w:rsidR="00425174">
        <w:rPr>
          <w:color w:val="0000FF" w:themeColor="accent1"/>
        </w:rPr>
        <w:t>CEC’s</w:t>
      </w:r>
      <w:r w:rsidR="006F069E">
        <w:rPr>
          <w:color w:val="0000FF" w:themeColor="accent1"/>
        </w:rPr>
        <w:t xml:space="preserve"> </w:t>
      </w:r>
      <w:hyperlink r:id="rId23" w:history="1">
        <w:r w:rsidR="006F069E" w:rsidRPr="006F069E">
          <w:rPr>
            <w:rStyle w:val="Hyperlink"/>
          </w:rPr>
          <w:t>New ZEV Sales in C</w:t>
        </w:r>
        <w:r w:rsidR="006F069E" w:rsidRPr="006F069E">
          <w:rPr>
            <w:rStyle w:val="Hyperlink"/>
          </w:rPr>
          <w:t>a</w:t>
        </w:r>
        <w:r w:rsidR="006F069E" w:rsidRPr="006F069E">
          <w:rPr>
            <w:rStyle w:val="Hyperlink"/>
          </w:rPr>
          <w:t>lifornia</w:t>
        </w:r>
      </w:hyperlink>
      <w:r w:rsidR="006F069E">
        <w:rPr>
          <w:color w:val="0000FF" w:themeColor="accent1"/>
        </w:rPr>
        <w:t xml:space="preserve"> </w:t>
      </w:r>
      <w:r w:rsidR="00425174" w:rsidRPr="00C05F3F">
        <w:rPr>
          <w:color w:val="0000FF" w:themeColor="accent1"/>
        </w:rPr>
        <w:t>database</w:t>
      </w:r>
      <w:r w:rsidR="00425174">
        <w:rPr>
          <w:color w:val="0000FF" w:themeColor="accent1"/>
        </w:rPr>
        <w:t>.</w:t>
      </w:r>
      <w:r w:rsidR="00425174" w:rsidRPr="009F2724">
        <w:rPr>
          <w:color w:val="0000FF" w:themeColor="accent1"/>
        </w:rPr>
        <w:t xml:space="preserve"> </w:t>
      </w:r>
      <w:r w:rsidR="0019019B">
        <w:rPr>
          <w:color w:val="0000FF" w:themeColor="accent1"/>
        </w:rPr>
        <w:t xml:space="preserve"> </w:t>
      </w:r>
      <w:r>
        <w:rPr>
          <w:color w:val="0000FF" w:themeColor="accent1"/>
        </w:rPr>
        <w:t>Filter to the latest year available.</w:t>
      </w:r>
    </w:p>
    <w:p w14:paraId="2E70C32F" w14:textId="4813768B" w:rsidR="00C357CB" w:rsidRDefault="00C357CB" w:rsidP="00425174">
      <w:pPr>
        <w:rPr>
          <w:color w:val="0000FF" w:themeColor="accent1"/>
        </w:rPr>
      </w:pPr>
      <w:r>
        <w:rPr>
          <w:color w:val="0000FF" w:themeColor="accent1"/>
        </w:rPr>
        <w:lastRenderedPageBreak/>
        <w:t xml:space="preserve">Obtain </w:t>
      </w:r>
      <w:r w:rsidRPr="00FA03F9">
        <w:rPr>
          <w:color w:val="0000FF" w:themeColor="accent1"/>
        </w:rPr>
        <w:t>diesel fuel data</w:t>
      </w:r>
      <w:r>
        <w:rPr>
          <w:color w:val="0000FF" w:themeColor="accent1"/>
        </w:rPr>
        <w:t xml:space="preserve"> from the CEC’s latest </w:t>
      </w:r>
      <w:hyperlink r:id="rId24" w:history="1">
        <w:r w:rsidRPr="00C357CB">
          <w:rPr>
            <w:rStyle w:val="Hyperlink"/>
          </w:rPr>
          <w:t>Integrated Energy Po</w:t>
        </w:r>
        <w:r w:rsidRPr="00C357CB">
          <w:rPr>
            <w:rStyle w:val="Hyperlink"/>
          </w:rPr>
          <w:t>l</w:t>
        </w:r>
        <w:r w:rsidRPr="00C357CB">
          <w:rPr>
            <w:rStyle w:val="Hyperlink"/>
          </w:rPr>
          <w:t>icy Report</w:t>
        </w:r>
      </w:hyperlink>
      <w:r>
        <w:rPr>
          <w:color w:val="0000FF" w:themeColor="accent1"/>
        </w:rPr>
        <w:t xml:space="preserve">.  The current report is for 2021.  </w:t>
      </w:r>
      <w:r w:rsidR="00A53BD6">
        <w:rPr>
          <w:color w:val="0000FF" w:themeColor="accent1"/>
        </w:rPr>
        <w:t>The report is updated every three years, with t</w:t>
      </w:r>
      <w:r w:rsidRPr="00FA03F9">
        <w:rPr>
          <w:color w:val="0000FF" w:themeColor="accent1"/>
        </w:rPr>
        <w:t xml:space="preserve">he 2023 </w:t>
      </w:r>
      <w:r>
        <w:rPr>
          <w:color w:val="0000FF" w:themeColor="accent1"/>
        </w:rPr>
        <w:t>I</w:t>
      </w:r>
      <w:r w:rsidRPr="00B22AC8">
        <w:rPr>
          <w:color w:val="0000FF" w:themeColor="accent1"/>
        </w:rPr>
        <w:t xml:space="preserve">ntegrated </w:t>
      </w:r>
      <w:r>
        <w:rPr>
          <w:color w:val="0000FF" w:themeColor="accent1"/>
        </w:rPr>
        <w:t>E</w:t>
      </w:r>
      <w:r w:rsidRPr="00B22AC8">
        <w:rPr>
          <w:color w:val="0000FF" w:themeColor="accent1"/>
        </w:rPr>
        <w:t xml:space="preserve">nergy </w:t>
      </w:r>
      <w:r>
        <w:rPr>
          <w:color w:val="0000FF" w:themeColor="accent1"/>
        </w:rPr>
        <w:t>P</w:t>
      </w:r>
      <w:r w:rsidRPr="00B22AC8">
        <w:rPr>
          <w:color w:val="0000FF" w:themeColor="accent1"/>
        </w:rPr>
        <w:t xml:space="preserve">olicy </w:t>
      </w:r>
      <w:r>
        <w:rPr>
          <w:color w:val="0000FF" w:themeColor="accent1"/>
        </w:rPr>
        <w:t>R</w:t>
      </w:r>
      <w:r w:rsidRPr="00B22AC8">
        <w:rPr>
          <w:color w:val="0000FF" w:themeColor="accent1"/>
        </w:rPr>
        <w:t>eport</w:t>
      </w:r>
      <w:r w:rsidRPr="00FA03F9">
        <w:rPr>
          <w:color w:val="0000FF" w:themeColor="accent1"/>
        </w:rPr>
        <w:t xml:space="preserve"> be</w:t>
      </w:r>
      <w:r w:rsidR="00A53BD6">
        <w:rPr>
          <w:color w:val="0000FF" w:themeColor="accent1"/>
        </w:rPr>
        <w:t>ing</w:t>
      </w:r>
      <w:r w:rsidRPr="00FA03F9">
        <w:rPr>
          <w:color w:val="0000FF" w:themeColor="accent1"/>
        </w:rPr>
        <w:t xml:space="preserve"> published in 2024.</w:t>
      </w:r>
      <w:r w:rsidR="00A53BD6">
        <w:rPr>
          <w:color w:val="0000FF" w:themeColor="accent1"/>
        </w:rPr>
        <w:t xml:space="preserve">  If applicable, update the example text and figure with information from the latest available report.  </w:t>
      </w:r>
    </w:p>
    <w:p w14:paraId="526AAD0C" w14:textId="5AC4657E" w:rsidR="00425174" w:rsidRDefault="00C357CB" w:rsidP="00425174">
      <w:pPr>
        <w:rPr>
          <w:color w:val="0000FF" w:themeColor="accent1"/>
        </w:rPr>
      </w:pPr>
      <w:r>
        <w:rPr>
          <w:color w:val="0000FF" w:themeColor="accent1"/>
        </w:rPr>
        <w:t>The following example</w:t>
      </w:r>
      <w:r w:rsidRPr="00A85010">
        <w:rPr>
          <w:color w:val="0000FF" w:themeColor="accent1"/>
        </w:rPr>
        <w:t xml:space="preserve"> text is based on </w:t>
      </w:r>
      <w:r>
        <w:rPr>
          <w:color w:val="0000FF" w:themeColor="accent1"/>
        </w:rPr>
        <w:t xml:space="preserve">vehicle sales </w:t>
      </w:r>
      <w:r w:rsidRPr="00A85010">
        <w:rPr>
          <w:color w:val="0000FF" w:themeColor="accent1"/>
        </w:rPr>
        <w:t xml:space="preserve">data from the </w:t>
      </w:r>
      <w:r>
        <w:rPr>
          <w:color w:val="0000FF" w:themeColor="accent1"/>
        </w:rPr>
        <w:t>CEC</w:t>
      </w:r>
      <w:r w:rsidRPr="00A85010">
        <w:rPr>
          <w:color w:val="0000FF" w:themeColor="accent1"/>
        </w:rPr>
        <w:t xml:space="preserve"> through quarter 2 of 2023.  </w:t>
      </w:r>
      <w:r>
        <w:rPr>
          <w:color w:val="0000FF" w:themeColor="accent1"/>
        </w:rPr>
        <w:t>Example</w:t>
      </w:r>
      <w:r w:rsidRPr="00FA03F9">
        <w:rPr>
          <w:color w:val="0000FF" w:themeColor="accent1"/>
        </w:rPr>
        <w:t xml:space="preserve"> text for diesel fuel data and Figure </w:t>
      </w:r>
      <w:r>
        <w:rPr>
          <w:color w:val="0000FF" w:themeColor="accent1"/>
        </w:rPr>
        <w:t>3-</w:t>
      </w:r>
      <w:r w:rsidRPr="00FA03F9">
        <w:rPr>
          <w:color w:val="0000FF" w:themeColor="accent1"/>
        </w:rPr>
        <w:t xml:space="preserve">3 are based on the </w:t>
      </w:r>
      <w:r>
        <w:rPr>
          <w:color w:val="0000FF" w:themeColor="accent1"/>
        </w:rPr>
        <w:t>CEC’s</w:t>
      </w:r>
      <w:r w:rsidRPr="00FA03F9">
        <w:rPr>
          <w:color w:val="0000FF" w:themeColor="accent1"/>
        </w:rPr>
        <w:t xml:space="preserve"> 2021 </w:t>
      </w:r>
      <w:r>
        <w:rPr>
          <w:color w:val="0000FF" w:themeColor="accent1"/>
        </w:rPr>
        <w:t>I</w:t>
      </w:r>
      <w:r w:rsidRPr="00B22AC8">
        <w:rPr>
          <w:color w:val="0000FF" w:themeColor="accent1"/>
        </w:rPr>
        <w:t xml:space="preserve">ntegrated </w:t>
      </w:r>
      <w:r>
        <w:rPr>
          <w:color w:val="0000FF" w:themeColor="accent1"/>
        </w:rPr>
        <w:t>E</w:t>
      </w:r>
      <w:r w:rsidRPr="00B22AC8">
        <w:rPr>
          <w:color w:val="0000FF" w:themeColor="accent1"/>
        </w:rPr>
        <w:t xml:space="preserve">nergy </w:t>
      </w:r>
      <w:r>
        <w:rPr>
          <w:color w:val="0000FF" w:themeColor="accent1"/>
        </w:rPr>
        <w:t>P</w:t>
      </w:r>
      <w:r w:rsidRPr="00B22AC8">
        <w:rPr>
          <w:color w:val="0000FF" w:themeColor="accent1"/>
        </w:rPr>
        <w:t xml:space="preserve">olicy </w:t>
      </w:r>
      <w:r>
        <w:rPr>
          <w:color w:val="0000FF" w:themeColor="accent1"/>
        </w:rPr>
        <w:t>R</w:t>
      </w:r>
      <w:r w:rsidRPr="00B22AC8">
        <w:rPr>
          <w:color w:val="0000FF" w:themeColor="accent1"/>
        </w:rPr>
        <w:t>eport</w:t>
      </w:r>
      <w:r w:rsidRPr="00FA03F9">
        <w:rPr>
          <w:color w:val="0000FF" w:themeColor="accent1"/>
        </w:rPr>
        <w:t xml:space="preserve">.  </w:t>
      </w:r>
      <w:r>
        <w:rPr>
          <w:color w:val="0000FF" w:themeColor="accent1"/>
        </w:rPr>
        <w:t>A</w:t>
      </w:r>
      <w:r w:rsidR="0019019B">
        <w:rPr>
          <w:color w:val="0000FF" w:themeColor="accent1"/>
        </w:rPr>
        <w:t xml:space="preserve">dapt the example text to use the most recent data currently available.  </w:t>
      </w:r>
    </w:p>
    <w:p w14:paraId="2DFC2D97" w14:textId="00FE3C10" w:rsidR="00DC2842" w:rsidRPr="000F4694" w:rsidRDefault="00DC2842" w:rsidP="00DC2842">
      <w:pPr>
        <w:rPr>
          <w:color w:val="800080" w:themeColor="accent3"/>
        </w:rPr>
      </w:pPr>
      <w:r w:rsidRPr="00472599">
        <w:rPr>
          <w:color w:val="800080" w:themeColor="accent3"/>
        </w:rPr>
        <w:t xml:space="preserve">The share of electric and zero-emission light-duty vehicles is expected to accelerate in the future, due largely to state climate policies and regulations for zero-emission vehicles. </w:t>
      </w:r>
      <w:r w:rsidR="00412315" w:rsidRPr="00472599">
        <w:rPr>
          <w:color w:val="800080" w:themeColor="accent3"/>
        </w:rPr>
        <w:t xml:space="preserve"> </w:t>
      </w:r>
      <w:r w:rsidRPr="00472599">
        <w:rPr>
          <w:color w:val="800080" w:themeColor="accent3"/>
        </w:rPr>
        <w:t>This is evidenced by vehicle sales data—zero-emission vehicles comprised 24.3% of year-to-date 2023 total light-duty vehicle sales</w:t>
      </w:r>
      <w:r w:rsidR="004C1161" w:rsidRPr="00472599">
        <w:rPr>
          <w:color w:val="800080" w:themeColor="accent3"/>
        </w:rPr>
        <w:t xml:space="preserve">.  </w:t>
      </w:r>
      <w:r w:rsidRPr="00472599">
        <w:rPr>
          <w:color w:val="800080" w:themeColor="accent3"/>
        </w:rPr>
        <w:t>In 2010, zero-emission vehicles comprised less than 1% of total light-duty vehicle sales</w:t>
      </w:r>
      <w:r w:rsidR="004C1161" w:rsidRPr="00472599">
        <w:rPr>
          <w:color w:val="800080" w:themeColor="accent3"/>
        </w:rPr>
        <w:t xml:space="preserve">.  </w:t>
      </w:r>
      <w:r w:rsidRPr="00472599">
        <w:rPr>
          <w:color w:val="800080" w:themeColor="accent3"/>
        </w:rPr>
        <w:t>(</w:t>
      </w:r>
      <w:r w:rsidR="00412315" w:rsidRPr="00472599">
        <w:rPr>
          <w:color w:val="800080" w:themeColor="accent3"/>
        </w:rPr>
        <w:t xml:space="preserve">CEC </w:t>
      </w:r>
      <w:r w:rsidRPr="00472599">
        <w:rPr>
          <w:color w:val="800080" w:themeColor="accent3"/>
        </w:rPr>
        <w:t>2023</w:t>
      </w:r>
      <w:r w:rsidR="00723F00">
        <w:rPr>
          <w:color w:val="800080" w:themeColor="accent3"/>
        </w:rPr>
        <w:t>d</w:t>
      </w:r>
      <w:r w:rsidRPr="000F4694">
        <w:rPr>
          <w:color w:val="800080" w:themeColor="accent3"/>
        </w:rPr>
        <w:t>.) While deployment has been slower than light-duty vehicles, the population of zero-emission medium- and heavy-duty vehicles is increasing in California</w:t>
      </w:r>
      <w:r w:rsidR="004C1161" w:rsidRPr="000F4694">
        <w:rPr>
          <w:color w:val="800080" w:themeColor="accent3"/>
        </w:rPr>
        <w:t xml:space="preserve">.  </w:t>
      </w:r>
      <w:r w:rsidRPr="000F4694">
        <w:rPr>
          <w:color w:val="800080" w:themeColor="accent3"/>
        </w:rPr>
        <w:t>The emergence of zero-emission medium- and heavy-duty vehicles combined with the state’s LCFS has led to the substantial displacement of petroleum-based diesel, as shown in Figure 3</w:t>
      </w:r>
      <w:r w:rsidR="00D7046A">
        <w:rPr>
          <w:color w:val="800080" w:themeColor="accent3"/>
        </w:rPr>
        <w:t>-3</w:t>
      </w:r>
      <w:r w:rsidRPr="000F4694">
        <w:rPr>
          <w:color w:val="800080" w:themeColor="accent3"/>
        </w:rPr>
        <w:t xml:space="preserve"> (</w:t>
      </w:r>
      <w:r w:rsidR="00412315" w:rsidRPr="000F4694">
        <w:rPr>
          <w:color w:val="800080" w:themeColor="accent3"/>
        </w:rPr>
        <w:t>CEC</w:t>
      </w:r>
      <w:r w:rsidRPr="000F4694">
        <w:rPr>
          <w:color w:val="800080" w:themeColor="accent3"/>
        </w:rPr>
        <w:t xml:space="preserve"> 2022).   </w:t>
      </w:r>
    </w:p>
    <w:p w14:paraId="059BC77D" w14:textId="1B4D64EF" w:rsidR="0019019B" w:rsidRPr="00472599" w:rsidRDefault="0019019B" w:rsidP="00F96A07">
      <w:pPr>
        <w:pStyle w:val="FigureTitle"/>
        <w:rPr>
          <w:color w:val="800080" w:themeColor="accent3"/>
        </w:rPr>
      </w:pPr>
      <w:bookmarkStart w:id="99" w:name="_Toc155852751"/>
      <w:r w:rsidRPr="000F4694">
        <w:rPr>
          <w:color w:val="800080" w:themeColor="accent3"/>
        </w:rPr>
        <w:t xml:space="preserve">Figure </w:t>
      </w:r>
      <w:r w:rsidRPr="00472599">
        <w:rPr>
          <w:b w:val="0"/>
          <w:bCs w:val="0"/>
          <w:color w:val="800080" w:themeColor="accent3"/>
        </w:rPr>
        <w:fldChar w:fldCharType="begin"/>
      </w:r>
      <w:r w:rsidRPr="00472599">
        <w:rPr>
          <w:color w:val="800080" w:themeColor="accent3"/>
        </w:rPr>
        <w:instrText xml:space="preserve"> STYLEREF 1 \s </w:instrText>
      </w:r>
      <w:r w:rsidRPr="00472599">
        <w:rPr>
          <w:b w:val="0"/>
          <w:bCs w:val="0"/>
          <w:color w:val="800080" w:themeColor="accent3"/>
        </w:rPr>
        <w:fldChar w:fldCharType="separate"/>
      </w:r>
      <w:r w:rsidRPr="00472599">
        <w:rPr>
          <w:noProof/>
          <w:color w:val="800080" w:themeColor="accent3"/>
        </w:rPr>
        <w:t>3</w:t>
      </w:r>
      <w:r w:rsidRPr="00472599">
        <w:rPr>
          <w:b w:val="0"/>
          <w:bCs w:val="0"/>
          <w:noProof/>
          <w:color w:val="800080" w:themeColor="accent3"/>
        </w:rPr>
        <w:fldChar w:fldCharType="end"/>
      </w:r>
      <w:r w:rsidRPr="00472599">
        <w:rPr>
          <w:color w:val="800080" w:themeColor="accent3"/>
        </w:rPr>
        <w:noBreakHyphen/>
      </w:r>
      <w:r w:rsidRPr="00472599">
        <w:rPr>
          <w:b w:val="0"/>
          <w:bCs w:val="0"/>
          <w:color w:val="800080" w:themeColor="accent3"/>
        </w:rPr>
        <w:fldChar w:fldCharType="begin"/>
      </w:r>
      <w:r w:rsidRPr="00472599">
        <w:rPr>
          <w:color w:val="800080" w:themeColor="accent3"/>
        </w:rPr>
        <w:instrText xml:space="preserve"> SEQ Figure \* ARABIC \s 1 </w:instrText>
      </w:r>
      <w:r w:rsidRPr="00472599">
        <w:rPr>
          <w:b w:val="0"/>
          <w:bCs w:val="0"/>
          <w:color w:val="800080" w:themeColor="accent3"/>
        </w:rPr>
        <w:fldChar w:fldCharType="separate"/>
      </w:r>
      <w:r w:rsidRPr="00472599">
        <w:rPr>
          <w:noProof/>
          <w:color w:val="800080" w:themeColor="accent3"/>
        </w:rPr>
        <w:t>3</w:t>
      </w:r>
      <w:r w:rsidRPr="00472599">
        <w:rPr>
          <w:b w:val="0"/>
          <w:bCs w:val="0"/>
          <w:noProof/>
          <w:color w:val="800080" w:themeColor="accent3"/>
        </w:rPr>
        <w:fldChar w:fldCharType="end"/>
      </w:r>
      <w:r w:rsidRPr="00472599">
        <w:rPr>
          <w:color w:val="800080" w:themeColor="accent3"/>
        </w:rPr>
        <w:t>.  Displacement of Petroleum Diesel in California</w:t>
      </w:r>
      <w:bookmarkEnd w:id="99"/>
    </w:p>
    <w:p w14:paraId="17063930" w14:textId="4A751D19" w:rsidR="0048139F" w:rsidRDefault="0048139F" w:rsidP="00F96A07">
      <w:r>
        <w:rPr>
          <w:noProof/>
        </w:rPr>
        <w:drawing>
          <wp:inline distT="0" distB="0" distL="0" distR="0" wp14:anchorId="3C0DF204" wp14:editId="7FD54A41">
            <wp:extent cx="5906324" cy="2724530"/>
            <wp:effectExtent l="0" t="0" r="0" b="0"/>
            <wp:docPr id="1116955272" name="Picture 3" descr="A graphic showing the displacement of petroleum diesel in California from year 2011 to the year 2021. The information shown in the figure is summarized in the preceding paragraph.  If you need additional accessibility assistance, please contact env.webmaster@dot.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955272" name="Picture 3" descr="A graphic showing the displacement of petroleum diesel in California from year 2011 to the year 2021. The information shown in the figure is summarized in the preceding paragraph.  If you need additional accessibility assistance, please contact env.webmaster@dot.ca.gov."/>
                    <pic:cNvPicPr/>
                  </pic:nvPicPr>
                  <pic:blipFill>
                    <a:blip r:embed="rId25">
                      <a:extLst>
                        <a:ext uri="{28A0092B-C50C-407E-A947-70E740481C1C}">
                          <a14:useLocalDpi xmlns:a14="http://schemas.microsoft.com/office/drawing/2010/main" val="0"/>
                        </a:ext>
                      </a:extLst>
                    </a:blip>
                    <a:stretch>
                      <a:fillRect/>
                    </a:stretch>
                  </pic:blipFill>
                  <pic:spPr>
                    <a:xfrm>
                      <a:off x="0" y="0"/>
                      <a:ext cx="5906324" cy="2724530"/>
                    </a:xfrm>
                    <a:prstGeom prst="rect">
                      <a:avLst/>
                    </a:prstGeom>
                  </pic:spPr>
                </pic:pic>
              </a:graphicData>
            </a:graphic>
          </wp:inline>
        </w:drawing>
      </w:r>
    </w:p>
    <w:p w14:paraId="3CE5E049" w14:textId="7E7AD041" w:rsidR="00CD1F8D" w:rsidRPr="00CD1F8D" w:rsidRDefault="00283EC5" w:rsidP="00CD1F8D">
      <w:pPr>
        <w:rPr>
          <w:color w:val="A50021" w:themeColor="accent2"/>
        </w:rPr>
      </w:pPr>
      <w:r w:rsidRPr="00472599">
        <w:rPr>
          <w:color w:val="800080" w:themeColor="accent3"/>
        </w:rPr>
        <w:t>Improvements in vehicle engine efficiency and the increasing use of zero-emission vehicles and renewable fuels will lead to reductions in the consumption of petroleum-based gasoline and diesel within the transportation sector</w:t>
      </w:r>
      <w:r w:rsidR="004C1161" w:rsidRPr="00472599">
        <w:rPr>
          <w:color w:val="800080" w:themeColor="accent3"/>
        </w:rPr>
        <w:t xml:space="preserve">.  </w:t>
      </w:r>
      <w:r w:rsidRPr="00472599">
        <w:rPr>
          <w:color w:val="800080" w:themeColor="accent3"/>
        </w:rPr>
        <w:t>The legislatively mandated transition to zero-emission vehicles will contribute to increases in hydrogen and electricity consumption</w:t>
      </w:r>
      <w:r w:rsidR="004C1161" w:rsidRPr="00472599">
        <w:rPr>
          <w:color w:val="800080" w:themeColor="accent3"/>
        </w:rPr>
        <w:t xml:space="preserve">.  </w:t>
      </w:r>
      <w:r w:rsidRPr="00472599">
        <w:rPr>
          <w:color w:val="800080" w:themeColor="accent3"/>
        </w:rPr>
        <w:t xml:space="preserve">As discussed in Chapter 2, </w:t>
      </w:r>
      <w:r w:rsidRPr="00472599">
        <w:rPr>
          <w:i/>
          <w:iCs/>
          <w:color w:val="800080" w:themeColor="accent3"/>
        </w:rPr>
        <w:t>Regulatory Setting</w:t>
      </w:r>
      <w:r w:rsidRPr="00472599">
        <w:rPr>
          <w:color w:val="800080" w:themeColor="accent3"/>
        </w:rPr>
        <w:t xml:space="preserve">, the state’s RPS requires an increasing </w:t>
      </w:r>
      <w:r w:rsidR="00E2021B" w:rsidRPr="00472599">
        <w:rPr>
          <w:color w:val="800080" w:themeColor="accent3"/>
        </w:rPr>
        <w:t xml:space="preserve">percentage </w:t>
      </w:r>
      <w:r w:rsidRPr="00472599">
        <w:rPr>
          <w:color w:val="800080" w:themeColor="accent3"/>
        </w:rPr>
        <w:t>of electricity retail sales be served by renewable sources</w:t>
      </w:r>
      <w:r w:rsidR="004C1161" w:rsidRPr="00472599">
        <w:rPr>
          <w:color w:val="800080" w:themeColor="accent3"/>
        </w:rPr>
        <w:t xml:space="preserve">.  </w:t>
      </w:r>
      <w:r w:rsidRPr="00472599">
        <w:rPr>
          <w:color w:val="800080" w:themeColor="accent3"/>
        </w:rPr>
        <w:t xml:space="preserve">Increasing the number of electric vehicles will therefore support decarbonization of the transportation sector. </w:t>
      </w:r>
      <w:r w:rsidRPr="00283EC5">
        <w:rPr>
          <w:color w:val="A50021" w:themeColor="accent2"/>
        </w:rPr>
        <w:t xml:space="preserve"> </w:t>
      </w:r>
      <w:r w:rsidRPr="004C0E8D">
        <w:rPr>
          <w:b/>
          <w:bCs/>
          <w:color w:val="0000FF" w:themeColor="accent1"/>
        </w:rPr>
        <w:t xml:space="preserve">[End </w:t>
      </w:r>
      <w:r w:rsidR="0019019B">
        <w:rPr>
          <w:b/>
          <w:bCs/>
          <w:color w:val="0000FF" w:themeColor="accent1"/>
        </w:rPr>
        <w:t>example</w:t>
      </w:r>
      <w:r w:rsidRPr="004C0E8D">
        <w:rPr>
          <w:b/>
          <w:bCs/>
          <w:color w:val="0000FF" w:themeColor="accent1"/>
        </w:rPr>
        <w:t>]</w:t>
      </w:r>
      <w:r w:rsidRPr="004C0E8D">
        <w:rPr>
          <w:color w:val="0000FF" w:themeColor="accent1"/>
        </w:rPr>
        <w:t xml:space="preserve">  </w:t>
      </w:r>
    </w:p>
    <w:p w14:paraId="0FC46732" w14:textId="5E8140A1" w:rsidR="0099598E" w:rsidRDefault="0099598E" w:rsidP="0099598E">
      <w:pPr>
        <w:pStyle w:val="Heading2"/>
      </w:pPr>
      <w:bookmarkStart w:id="100" w:name="_Toc150334787"/>
      <w:bookmarkStart w:id="101" w:name="_Toc157429584"/>
      <w:r>
        <w:lastRenderedPageBreak/>
        <w:t xml:space="preserve">Local Energy Resources </w:t>
      </w:r>
      <w:r w:rsidR="00007B70">
        <w:t>and Consumption</w:t>
      </w:r>
      <w:bookmarkEnd w:id="100"/>
      <w:bookmarkEnd w:id="101"/>
    </w:p>
    <w:p w14:paraId="5A54C6CE" w14:textId="77777777" w:rsidR="00007B70" w:rsidRDefault="00007B70" w:rsidP="00007B70">
      <w:pPr>
        <w:pStyle w:val="IntroGuidanceHeading1"/>
      </w:pPr>
      <w:r>
        <w:t>GUIDANCE</w:t>
      </w:r>
    </w:p>
    <w:p w14:paraId="7DF60D96" w14:textId="46CFBADE" w:rsidR="00C357CB" w:rsidRDefault="008A10ED" w:rsidP="008A10ED">
      <w:pPr>
        <w:rPr>
          <w:color w:val="0000FF" w:themeColor="accent1"/>
        </w:rPr>
      </w:pPr>
      <w:r w:rsidRPr="008A10ED">
        <w:rPr>
          <w:color w:val="0000FF" w:themeColor="accent1"/>
        </w:rPr>
        <w:t>Discuss energy resources and consumption trends relevant to the transportation sector for the county(</w:t>
      </w:r>
      <w:proofErr w:type="spellStart"/>
      <w:r w:rsidRPr="008A10ED">
        <w:rPr>
          <w:color w:val="0000FF" w:themeColor="accent1"/>
        </w:rPr>
        <w:t>ies</w:t>
      </w:r>
      <w:proofErr w:type="spellEnd"/>
      <w:r w:rsidRPr="008A10ED">
        <w:rPr>
          <w:color w:val="0000FF" w:themeColor="accent1"/>
        </w:rPr>
        <w:t>) in which the project is located.</w:t>
      </w:r>
      <w:r w:rsidR="005C7D6B">
        <w:rPr>
          <w:color w:val="0000FF" w:themeColor="accent1"/>
        </w:rPr>
        <w:t xml:space="preserve">  </w:t>
      </w:r>
    </w:p>
    <w:p w14:paraId="05F826BC" w14:textId="48DC1BA8" w:rsidR="00C357CB" w:rsidRPr="008A10ED" w:rsidRDefault="008A10ED" w:rsidP="008A10ED">
      <w:pPr>
        <w:rPr>
          <w:color w:val="0000FF" w:themeColor="accent1"/>
        </w:rPr>
      </w:pPr>
      <w:r w:rsidRPr="008A10ED">
        <w:rPr>
          <w:color w:val="0000FF" w:themeColor="accent1"/>
        </w:rPr>
        <w:t xml:space="preserve">Obtain local electricity and natural gas consumption from the </w:t>
      </w:r>
      <w:r>
        <w:rPr>
          <w:color w:val="0000FF" w:themeColor="accent1"/>
        </w:rPr>
        <w:t>CEC’s</w:t>
      </w:r>
      <w:r w:rsidRPr="008A10ED">
        <w:rPr>
          <w:color w:val="0000FF" w:themeColor="accent1"/>
        </w:rPr>
        <w:t xml:space="preserve"> </w:t>
      </w:r>
      <w:hyperlink r:id="rId26" w:history="1">
        <w:r w:rsidRPr="008A10ED">
          <w:rPr>
            <w:rStyle w:val="Hyperlink"/>
          </w:rPr>
          <w:t>Ene</w:t>
        </w:r>
        <w:r w:rsidRPr="008A10ED">
          <w:rPr>
            <w:rStyle w:val="Hyperlink"/>
          </w:rPr>
          <w:t>r</w:t>
        </w:r>
        <w:r w:rsidRPr="008A10ED">
          <w:rPr>
            <w:rStyle w:val="Hyperlink"/>
          </w:rPr>
          <w:t>gy Consumption Database</w:t>
        </w:r>
      </w:hyperlink>
      <w:r w:rsidR="004C1161" w:rsidRPr="008A10ED">
        <w:rPr>
          <w:color w:val="0000FF" w:themeColor="accent1"/>
        </w:rPr>
        <w:t xml:space="preserve">.  </w:t>
      </w:r>
      <w:r w:rsidR="00C357CB">
        <w:rPr>
          <w:color w:val="0000FF" w:themeColor="accent1"/>
        </w:rPr>
        <w:t xml:space="preserve">Separately click on “Electricity Consumption by County” and “Natural Gas Consumption by County.”  Highlight all counties and select “Total” and the latest year available.  Filter the resulting spreadsheets to </w:t>
      </w:r>
      <w:r w:rsidR="00C357CB" w:rsidRPr="008A10ED">
        <w:rPr>
          <w:color w:val="0000FF" w:themeColor="accent1"/>
        </w:rPr>
        <w:t>the county(</w:t>
      </w:r>
      <w:proofErr w:type="spellStart"/>
      <w:r w:rsidR="00C357CB" w:rsidRPr="008A10ED">
        <w:rPr>
          <w:color w:val="0000FF" w:themeColor="accent1"/>
        </w:rPr>
        <w:t>ies</w:t>
      </w:r>
      <w:proofErr w:type="spellEnd"/>
      <w:r w:rsidR="00C357CB" w:rsidRPr="008A10ED">
        <w:rPr>
          <w:color w:val="0000FF" w:themeColor="accent1"/>
        </w:rPr>
        <w:t>) in which the project is located</w:t>
      </w:r>
      <w:r w:rsidR="00C357CB">
        <w:rPr>
          <w:color w:val="0000FF" w:themeColor="accent1"/>
        </w:rPr>
        <w:t>.</w:t>
      </w:r>
    </w:p>
    <w:p w14:paraId="250658AA" w14:textId="3ED80F27" w:rsidR="00C357CB" w:rsidRDefault="008A10ED" w:rsidP="008A10ED">
      <w:pPr>
        <w:rPr>
          <w:color w:val="0000FF" w:themeColor="accent1"/>
        </w:rPr>
      </w:pPr>
      <w:r w:rsidRPr="008A10ED">
        <w:rPr>
          <w:color w:val="0000FF" w:themeColor="accent1"/>
        </w:rPr>
        <w:t xml:space="preserve">Obtain local fuel sales data from the </w:t>
      </w:r>
      <w:r w:rsidR="007F19B2">
        <w:rPr>
          <w:color w:val="0000FF" w:themeColor="accent1"/>
        </w:rPr>
        <w:t>CEC’s</w:t>
      </w:r>
      <w:r w:rsidRPr="008A10ED">
        <w:rPr>
          <w:color w:val="0000FF" w:themeColor="accent1"/>
        </w:rPr>
        <w:t xml:space="preserve"> </w:t>
      </w:r>
      <w:hyperlink r:id="rId27" w:history="1">
        <w:r w:rsidRPr="008A10ED">
          <w:rPr>
            <w:rStyle w:val="Hyperlink"/>
          </w:rPr>
          <w:t xml:space="preserve">California </w:t>
        </w:r>
        <w:r w:rsidR="002D4C11" w:rsidRPr="002D4C11">
          <w:rPr>
            <w:rStyle w:val="Hyperlink"/>
          </w:rPr>
          <w:t>Annu</w:t>
        </w:r>
        <w:r w:rsidR="002D4C11" w:rsidRPr="002D4C11">
          <w:rPr>
            <w:rStyle w:val="Hyperlink"/>
          </w:rPr>
          <w:t>a</w:t>
        </w:r>
        <w:r w:rsidR="002D4C11" w:rsidRPr="002D4C11">
          <w:rPr>
            <w:rStyle w:val="Hyperlink"/>
          </w:rPr>
          <w:t xml:space="preserve">l </w:t>
        </w:r>
        <w:r w:rsidRPr="008A10ED">
          <w:rPr>
            <w:rStyle w:val="Hyperlink"/>
          </w:rPr>
          <w:t xml:space="preserve">Retail Fuel Outlet </w:t>
        </w:r>
        <w:r w:rsidR="002D4C11" w:rsidRPr="002D4C11">
          <w:rPr>
            <w:rStyle w:val="Hyperlink"/>
          </w:rPr>
          <w:t>Report</w:t>
        </w:r>
        <w:r w:rsidR="004A274B" w:rsidRPr="002D4C11">
          <w:rPr>
            <w:rStyle w:val="Hyperlink"/>
          </w:rPr>
          <w:t xml:space="preserve"> </w:t>
        </w:r>
        <w:r w:rsidR="002D4C11" w:rsidRPr="002D4C11">
          <w:rPr>
            <w:rStyle w:val="Hyperlink"/>
          </w:rPr>
          <w:t>Results</w:t>
        </w:r>
      </w:hyperlink>
      <w:r w:rsidR="004A274B">
        <w:rPr>
          <w:color w:val="0000FF" w:themeColor="accent1"/>
        </w:rPr>
        <w:t xml:space="preserve"> </w:t>
      </w:r>
      <w:r w:rsidRPr="008A10ED">
        <w:rPr>
          <w:color w:val="0000FF" w:themeColor="accent1"/>
        </w:rPr>
        <w:t xml:space="preserve">(CEC-A15) </w:t>
      </w:r>
      <w:r w:rsidR="009278E1">
        <w:rPr>
          <w:color w:val="0000FF" w:themeColor="accent1"/>
        </w:rPr>
        <w:t>spreadsheet</w:t>
      </w:r>
      <w:r w:rsidR="004C1161" w:rsidRPr="008A10ED">
        <w:rPr>
          <w:color w:val="0000FF" w:themeColor="accent1"/>
        </w:rPr>
        <w:t xml:space="preserve">.  </w:t>
      </w:r>
      <w:r w:rsidR="00C357CB">
        <w:rPr>
          <w:color w:val="0000FF" w:themeColor="accent1"/>
        </w:rPr>
        <w:t xml:space="preserve">Filter the spreadsheet to </w:t>
      </w:r>
      <w:r w:rsidR="00C357CB" w:rsidRPr="008A10ED">
        <w:rPr>
          <w:color w:val="0000FF" w:themeColor="accent1"/>
        </w:rPr>
        <w:t>the county(</w:t>
      </w:r>
      <w:proofErr w:type="spellStart"/>
      <w:r w:rsidR="00C357CB" w:rsidRPr="008A10ED">
        <w:rPr>
          <w:color w:val="0000FF" w:themeColor="accent1"/>
        </w:rPr>
        <w:t>ies</w:t>
      </w:r>
      <w:proofErr w:type="spellEnd"/>
      <w:r w:rsidR="00C357CB" w:rsidRPr="008A10ED">
        <w:rPr>
          <w:color w:val="0000FF" w:themeColor="accent1"/>
        </w:rPr>
        <w:t>) in which the project is located</w:t>
      </w:r>
      <w:r w:rsidR="00C357CB">
        <w:rPr>
          <w:color w:val="0000FF" w:themeColor="accent1"/>
        </w:rPr>
        <w:t>.</w:t>
      </w:r>
    </w:p>
    <w:p w14:paraId="24F8A529" w14:textId="47E17FA4" w:rsidR="008A10ED" w:rsidRPr="008A10ED" w:rsidRDefault="005C7D6B" w:rsidP="008A10ED">
      <w:pPr>
        <w:rPr>
          <w:color w:val="0000FF" w:themeColor="accent1"/>
        </w:rPr>
      </w:pPr>
      <w:r>
        <w:rPr>
          <w:color w:val="0000FF" w:themeColor="accent1"/>
        </w:rPr>
        <w:t xml:space="preserve">The following example </w:t>
      </w:r>
      <w:r w:rsidRPr="00C05F3F">
        <w:rPr>
          <w:color w:val="0000FF" w:themeColor="accent1"/>
        </w:rPr>
        <w:t xml:space="preserve">text </w:t>
      </w:r>
      <w:r>
        <w:rPr>
          <w:color w:val="0000FF" w:themeColor="accent1"/>
        </w:rPr>
        <w:t>is</w:t>
      </w:r>
      <w:r w:rsidR="00640F3A">
        <w:rPr>
          <w:color w:val="0000FF" w:themeColor="accent1"/>
        </w:rPr>
        <w:t xml:space="preserve"> for Riverside County and</w:t>
      </w:r>
      <w:r w:rsidRPr="00C05F3F">
        <w:rPr>
          <w:color w:val="0000FF" w:themeColor="accent1"/>
        </w:rPr>
        <w:t xml:space="preserve"> based on data through the year 2022.</w:t>
      </w:r>
      <w:r>
        <w:rPr>
          <w:color w:val="0000FF" w:themeColor="accent1"/>
        </w:rPr>
        <w:t xml:space="preserve">  Access the CEC databases and adapt the example text to the local study area and to use the most recent data currently available.</w:t>
      </w:r>
    </w:p>
    <w:p w14:paraId="36B73494" w14:textId="2DB77F73" w:rsidR="000575C6" w:rsidRPr="00472599" w:rsidRDefault="000575C6" w:rsidP="000575C6">
      <w:pPr>
        <w:rPr>
          <w:color w:val="800080" w:themeColor="accent3"/>
        </w:rPr>
      </w:pPr>
      <w:r w:rsidRPr="00472599">
        <w:rPr>
          <w:color w:val="800080" w:themeColor="accent3"/>
        </w:rPr>
        <w:t xml:space="preserve">At the local level, </w:t>
      </w:r>
      <w:r w:rsidR="00640F3A">
        <w:rPr>
          <w:color w:val="800080" w:themeColor="accent3"/>
        </w:rPr>
        <w:t>Riverside County</w:t>
      </w:r>
      <w:r w:rsidRPr="00472599">
        <w:rPr>
          <w:color w:val="800080" w:themeColor="accent3"/>
        </w:rPr>
        <w:t xml:space="preserve"> consume</w:t>
      </w:r>
      <w:r w:rsidR="00640F3A">
        <w:rPr>
          <w:color w:val="800080" w:themeColor="accent3"/>
        </w:rPr>
        <w:t>s</w:t>
      </w:r>
      <w:r w:rsidRPr="00472599">
        <w:rPr>
          <w:color w:val="800080" w:themeColor="accent3"/>
        </w:rPr>
        <w:t xml:space="preserve"> a small amount of energy relative to the state</w:t>
      </w:r>
      <w:r w:rsidR="004C1161" w:rsidRPr="00472599">
        <w:rPr>
          <w:color w:val="800080" w:themeColor="accent3"/>
        </w:rPr>
        <w:t xml:space="preserve">.  </w:t>
      </w:r>
      <w:r w:rsidRPr="00472599">
        <w:rPr>
          <w:color w:val="800080" w:themeColor="accent3"/>
        </w:rPr>
        <w:t xml:space="preserve">Electricity and natural gas consumption </w:t>
      </w:r>
      <w:r w:rsidR="007F3435" w:rsidRPr="00472599">
        <w:rPr>
          <w:color w:val="800080" w:themeColor="accent3"/>
        </w:rPr>
        <w:t>was</w:t>
      </w:r>
      <w:r w:rsidRPr="00472599">
        <w:rPr>
          <w:color w:val="800080" w:themeColor="accent3"/>
        </w:rPr>
        <w:t xml:space="preserve"> approximately</w:t>
      </w:r>
      <w:r w:rsidR="003A4F16" w:rsidRPr="00472599">
        <w:rPr>
          <w:color w:val="800080" w:themeColor="accent3"/>
        </w:rPr>
        <w:t xml:space="preserve"> </w:t>
      </w:r>
      <w:r w:rsidR="00640F3A">
        <w:rPr>
          <w:color w:val="800080" w:themeColor="accent3"/>
        </w:rPr>
        <w:t>6</w:t>
      </w:r>
      <w:r w:rsidR="003A4F16" w:rsidRPr="00472599">
        <w:rPr>
          <w:color w:val="800080" w:themeColor="accent3"/>
        </w:rPr>
        <w:t>%</w:t>
      </w:r>
      <w:r w:rsidRPr="00472599">
        <w:rPr>
          <w:color w:val="800080" w:themeColor="accent3"/>
        </w:rPr>
        <w:t xml:space="preserve"> and </w:t>
      </w:r>
      <w:r w:rsidR="00640F3A">
        <w:rPr>
          <w:color w:val="800080" w:themeColor="accent3"/>
        </w:rPr>
        <w:t>4</w:t>
      </w:r>
      <w:r w:rsidR="003A4F16" w:rsidRPr="00472599">
        <w:rPr>
          <w:color w:val="800080" w:themeColor="accent3"/>
        </w:rPr>
        <w:t>%</w:t>
      </w:r>
      <w:r w:rsidRPr="00472599">
        <w:rPr>
          <w:color w:val="800080" w:themeColor="accent3"/>
        </w:rPr>
        <w:t xml:space="preserve"> of the statewide total</w:t>
      </w:r>
      <w:r w:rsidR="00EB3CC9" w:rsidRPr="00472599">
        <w:rPr>
          <w:color w:val="800080" w:themeColor="accent3"/>
        </w:rPr>
        <w:t>s</w:t>
      </w:r>
      <w:r w:rsidRPr="00472599">
        <w:rPr>
          <w:color w:val="800080" w:themeColor="accent3"/>
        </w:rPr>
        <w:t>, respectively, in 2022 (</w:t>
      </w:r>
      <w:r w:rsidR="00412315" w:rsidRPr="00472599">
        <w:rPr>
          <w:color w:val="800080" w:themeColor="accent3"/>
        </w:rPr>
        <w:t>CEC</w:t>
      </w:r>
      <w:r w:rsidRPr="00472599">
        <w:rPr>
          <w:color w:val="800080" w:themeColor="accent3"/>
        </w:rPr>
        <w:t xml:space="preserve"> 2023</w:t>
      </w:r>
      <w:r w:rsidR="00723F00">
        <w:rPr>
          <w:color w:val="800080" w:themeColor="accent3"/>
        </w:rPr>
        <w:t>e</w:t>
      </w:r>
      <w:r w:rsidRPr="00472599">
        <w:rPr>
          <w:color w:val="800080" w:themeColor="accent3"/>
        </w:rPr>
        <w:t>).</w:t>
      </w:r>
      <w:r w:rsidR="00527BEF" w:rsidRPr="00472599">
        <w:rPr>
          <w:color w:val="800080" w:themeColor="accent3"/>
        </w:rPr>
        <w:t xml:space="preserve"> </w:t>
      </w:r>
      <w:r w:rsidRPr="00472599">
        <w:rPr>
          <w:color w:val="800080" w:themeColor="accent3"/>
        </w:rPr>
        <w:t xml:space="preserve"> </w:t>
      </w:r>
      <w:r w:rsidR="00640F3A">
        <w:rPr>
          <w:color w:val="800080" w:themeColor="accent3"/>
        </w:rPr>
        <w:t>981</w:t>
      </w:r>
      <w:r w:rsidR="00527BEF" w:rsidRPr="00472599">
        <w:rPr>
          <w:color w:val="800080" w:themeColor="accent3"/>
        </w:rPr>
        <w:t xml:space="preserve"> </w:t>
      </w:r>
      <w:r w:rsidRPr="00472599">
        <w:rPr>
          <w:color w:val="800080" w:themeColor="accent3"/>
        </w:rPr>
        <w:t>million gallons of gasoline</w:t>
      </w:r>
      <w:r w:rsidR="00057CA6" w:rsidRPr="00472599">
        <w:rPr>
          <w:color w:val="800080" w:themeColor="accent3"/>
        </w:rPr>
        <w:t xml:space="preserve"> and </w:t>
      </w:r>
      <w:r w:rsidR="00640F3A">
        <w:rPr>
          <w:color w:val="800080" w:themeColor="accent3"/>
        </w:rPr>
        <w:t>173</w:t>
      </w:r>
      <w:r w:rsidR="00057CA6" w:rsidRPr="00472599">
        <w:rPr>
          <w:color w:val="800080" w:themeColor="accent3"/>
        </w:rPr>
        <w:t xml:space="preserve"> million gallons of diesel</w:t>
      </w:r>
      <w:r w:rsidR="007F3435" w:rsidRPr="00472599">
        <w:rPr>
          <w:color w:val="800080" w:themeColor="accent3"/>
        </w:rPr>
        <w:t xml:space="preserve"> were sold in </w:t>
      </w:r>
      <w:r w:rsidR="00640F3A">
        <w:rPr>
          <w:color w:val="800080" w:themeColor="accent3"/>
        </w:rPr>
        <w:t>Riverside County</w:t>
      </w:r>
      <w:r w:rsidR="007F3435" w:rsidRPr="00472599">
        <w:rPr>
          <w:color w:val="800080" w:themeColor="accent3"/>
        </w:rPr>
        <w:t xml:space="preserve"> in 2022</w:t>
      </w:r>
      <w:r w:rsidRPr="00472599">
        <w:rPr>
          <w:color w:val="800080" w:themeColor="accent3"/>
        </w:rPr>
        <w:t xml:space="preserve">, which </w:t>
      </w:r>
      <w:r w:rsidR="007F3435" w:rsidRPr="00472599">
        <w:rPr>
          <w:color w:val="800080" w:themeColor="accent3"/>
        </w:rPr>
        <w:t>are</w:t>
      </w:r>
      <w:r w:rsidRPr="00472599">
        <w:rPr>
          <w:color w:val="800080" w:themeColor="accent3"/>
        </w:rPr>
        <w:t xml:space="preserve"> </w:t>
      </w:r>
      <w:r w:rsidR="00640F3A">
        <w:rPr>
          <w:color w:val="800080" w:themeColor="accent3"/>
        </w:rPr>
        <w:t>7</w:t>
      </w:r>
      <w:r w:rsidR="00527BEF" w:rsidRPr="00472599">
        <w:rPr>
          <w:color w:val="800080" w:themeColor="accent3"/>
        </w:rPr>
        <w:t>%</w:t>
      </w:r>
      <w:r w:rsidRPr="00472599">
        <w:rPr>
          <w:color w:val="800080" w:themeColor="accent3"/>
        </w:rPr>
        <w:t xml:space="preserve"> of statewide </w:t>
      </w:r>
      <w:r w:rsidR="007F3435" w:rsidRPr="00472599">
        <w:rPr>
          <w:color w:val="800080" w:themeColor="accent3"/>
        </w:rPr>
        <w:t xml:space="preserve">gasoline </w:t>
      </w:r>
      <w:r w:rsidRPr="00472599">
        <w:rPr>
          <w:color w:val="800080" w:themeColor="accent3"/>
        </w:rPr>
        <w:t xml:space="preserve">sales </w:t>
      </w:r>
      <w:r w:rsidR="007F3435" w:rsidRPr="00472599">
        <w:rPr>
          <w:color w:val="800080" w:themeColor="accent3"/>
        </w:rPr>
        <w:t xml:space="preserve">and </w:t>
      </w:r>
      <w:r w:rsidR="00640F3A">
        <w:rPr>
          <w:color w:val="800080" w:themeColor="accent3"/>
        </w:rPr>
        <w:t>8</w:t>
      </w:r>
      <w:r w:rsidR="008A28F9" w:rsidRPr="00472599">
        <w:rPr>
          <w:color w:val="800080" w:themeColor="accent3"/>
        </w:rPr>
        <w:t xml:space="preserve">% </w:t>
      </w:r>
      <w:r w:rsidRPr="00472599">
        <w:rPr>
          <w:color w:val="800080" w:themeColor="accent3"/>
        </w:rPr>
        <w:t xml:space="preserve">of statewide </w:t>
      </w:r>
      <w:r w:rsidR="007F3435" w:rsidRPr="00472599">
        <w:rPr>
          <w:color w:val="800080" w:themeColor="accent3"/>
        </w:rPr>
        <w:t>diesel sales</w:t>
      </w:r>
      <w:r w:rsidRPr="00472599">
        <w:rPr>
          <w:color w:val="800080" w:themeColor="accent3"/>
        </w:rPr>
        <w:t xml:space="preserve"> (</w:t>
      </w:r>
      <w:r w:rsidR="00412315" w:rsidRPr="00472599">
        <w:rPr>
          <w:color w:val="800080" w:themeColor="accent3"/>
        </w:rPr>
        <w:t xml:space="preserve">CEC </w:t>
      </w:r>
      <w:r w:rsidRPr="00472599">
        <w:rPr>
          <w:color w:val="800080" w:themeColor="accent3"/>
        </w:rPr>
        <w:t>2023</w:t>
      </w:r>
      <w:r w:rsidR="00723F00">
        <w:rPr>
          <w:color w:val="800080" w:themeColor="accent3"/>
        </w:rPr>
        <w:t>f</w:t>
      </w:r>
      <w:r w:rsidRPr="000F4694">
        <w:rPr>
          <w:color w:val="800080" w:themeColor="accent3"/>
        </w:rPr>
        <w:t>).</w:t>
      </w:r>
      <w:r w:rsidRPr="00472599">
        <w:rPr>
          <w:color w:val="800080" w:themeColor="accent3"/>
          <w:vertAlign w:val="superscript"/>
        </w:rPr>
        <w:footnoteReference w:id="2"/>
      </w:r>
      <w:r w:rsidRPr="00472599">
        <w:rPr>
          <w:color w:val="800080" w:themeColor="accent3"/>
        </w:rPr>
        <w:t xml:space="preserve"> </w:t>
      </w:r>
      <w:r w:rsidR="007C7640" w:rsidRPr="00472599">
        <w:rPr>
          <w:color w:val="800080" w:themeColor="accent3"/>
        </w:rPr>
        <w:t xml:space="preserve"> </w:t>
      </w:r>
      <w:r w:rsidRPr="00DD02C9">
        <w:rPr>
          <w:b/>
          <w:bCs/>
          <w:color w:val="0000FF" w:themeColor="accent1"/>
        </w:rPr>
        <w:t xml:space="preserve">[End </w:t>
      </w:r>
      <w:r w:rsidR="005C7D6B" w:rsidRPr="00DD02C9">
        <w:rPr>
          <w:b/>
          <w:bCs/>
          <w:color w:val="0000FF" w:themeColor="accent1"/>
        </w:rPr>
        <w:t>example</w:t>
      </w:r>
      <w:r w:rsidRPr="00DD02C9">
        <w:rPr>
          <w:b/>
          <w:bCs/>
          <w:color w:val="0000FF" w:themeColor="accent1"/>
        </w:rPr>
        <w:t>]</w:t>
      </w:r>
      <w:r w:rsidRPr="00DD02C9">
        <w:rPr>
          <w:color w:val="0000FF" w:themeColor="accent1"/>
        </w:rPr>
        <w:t xml:space="preserve">  </w:t>
      </w:r>
    </w:p>
    <w:p w14:paraId="2ECC4558" w14:textId="77777777" w:rsidR="008B4697" w:rsidRDefault="008B4697" w:rsidP="008B4697">
      <w:pPr>
        <w:pStyle w:val="IntroGuidanceHeading1"/>
      </w:pPr>
      <w:r>
        <w:t>GUIDANCE</w:t>
      </w:r>
    </w:p>
    <w:p w14:paraId="3212EA50" w14:textId="01BFA11D" w:rsidR="006375A4" w:rsidRPr="006375A4" w:rsidRDefault="006375A4" w:rsidP="006375A4">
      <w:pPr>
        <w:rPr>
          <w:color w:val="0000FF" w:themeColor="accent1"/>
        </w:rPr>
      </w:pPr>
      <w:r w:rsidRPr="006375A4">
        <w:rPr>
          <w:color w:val="0000FF" w:themeColor="accent1"/>
        </w:rPr>
        <w:t xml:space="preserve">Obtain zero-emission vehicle population data from the </w:t>
      </w:r>
      <w:r w:rsidR="007C47E6">
        <w:rPr>
          <w:color w:val="0000FF" w:themeColor="accent1"/>
        </w:rPr>
        <w:t>CEC’s</w:t>
      </w:r>
      <w:r w:rsidRPr="006375A4">
        <w:rPr>
          <w:color w:val="0000FF" w:themeColor="accent1"/>
        </w:rPr>
        <w:t xml:space="preserve"> </w:t>
      </w:r>
      <w:hyperlink r:id="rId28" w:history="1">
        <w:r w:rsidRPr="006375A4">
          <w:rPr>
            <w:rStyle w:val="Hyperlink"/>
          </w:rPr>
          <w:t>Lig</w:t>
        </w:r>
        <w:r w:rsidRPr="006375A4">
          <w:rPr>
            <w:rStyle w:val="Hyperlink"/>
          </w:rPr>
          <w:t>h</w:t>
        </w:r>
        <w:r w:rsidRPr="006375A4">
          <w:rPr>
            <w:rStyle w:val="Hyperlink"/>
          </w:rPr>
          <w:t>t-Duty Vehicle Population in California</w:t>
        </w:r>
      </w:hyperlink>
      <w:r w:rsidRPr="006375A4">
        <w:rPr>
          <w:color w:val="0000FF" w:themeColor="accent1"/>
        </w:rPr>
        <w:t xml:space="preserve"> dashboard. </w:t>
      </w:r>
      <w:r w:rsidR="00DD02C9">
        <w:rPr>
          <w:color w:val="0000FF" w:themeColor="accent1"/>
        </w:rPr>
        <w:t xml:space="preserve"> </w:t>
      </w:r>
      <w:r w:rsidRPr="006375A4">
        <w:rPr>
          <w:color w:val="0000FF" w:themeColor="accent1"/>
        </w:rPr>
        <w:t xml:space="preserve">Filter the dashboard </w:t>
      </w:r>
      <w:r w:rsidR="0079414B">
        <w:rPr>
          <w:color w:val="0000FF" w:themeColor="accent1"/>
        </w:rPr>
        <w:t>to</w:t>
      </w:r>
      <w:r w:rsidRPr="006375A4">
        <w:rPr>
          <w:color w:val="0000FF" w:themeColor="accent1"/>
        </w:rPr>
        <w:t xml:space="preserve"> the project county(</w:t>
      </w:r>
      <w:proofErr w:type="spellStart"/>
      <w:r w:rsidRPr="006375A4">
        <w:rPr>
          <w:color w:val="0000FF" w:themeColor="accent1"/>
        </w:rPr>
        <w:t>ies</w:t>
      </w:r>
      <w:proofErr w:type="spellEnd"/>
      <w:r w:rsidRPr="006375A4">
        <w:rPr>
          <w:color w:val="0000FF" w:themeColor="accent1"/>
        </w:rPr>
        <w:t xml:space="preserve">) and </w:t>
      </w:r>
      <w:r w:rsidR="00DD02C9">
        <w:rPr>
          <w:color w:val="0000FF" w:themeColor="accent1"/>
        </w:rPr>
        <w:t xml:space="preserve">then separately filter to </w:t>
      </w:r>
      <w:r w:rsidRPr="006375A4">
        <w:rPr>
          <w:color w:val="0000FF" w:themeColor="accent1"/>
        </w:rPr>
        <w:t>the last year with available data</w:t>
      </w:r>
      <w:r w:rsidR="00F55679">
        <w:rPr>
          <w:color w:val="0000FF" w:themeColor="accent1"/>
        </w:rPr>
        <w:t xml:space="preserve"> and a </w:t>
      </w:r>
      <w:r w:rsidR="00C16349">
        <w:rPr>
          <w:color w:val="0000FF" w:themeColor="accent1"/>
        </w:rPr>
        <w:t>historic year.  Consider a</w:t>
      </w:r>
      <w:r w:rsidR="00E629C0">
        <w:rPr>
          <w:color w:val="0000FF" w:themeColor="accent1"/>
        </w:rPr>
        <w:t xml:space="preserve"> historic</w:t>
      </w:r>
      <w:r w:rsidR="00C16349">
        <w:rPr>
          <w:color w:val="0000FF" w:themeColor="accent1"/>
        </w:rPr>
        <w:t xml:space="preserve"> </w:t>
      </w:r>
      <w:r w:rsidR="00F55679">
        <w:rPr>
          <w:color w:val="0000FF" w:themeColor="accent1"/>
        </w:rPr>
        <w:t>year that is at least 5 to 10 years prior</w:t>
      </w:r>
      <w:r w:rsidR="00C16349">
        <w:rPr>
          <w:color w:val="0000FF" w:themeColor="accent1"/>
        </w:rPr>
        <w:t xml:space="preserve"> to the last year with </w:t>
      </w:r>
      <w:r w:rsidR="00E629C0">
        <w:rPr>
          <w:color w:val="0000FF" w:themeColor="accent1"/>
        </w:rPr>
        <w:t>available</w:t>
      </w:r>
      <w:r w:rsidR="00C16349">
        <w:rPr>
          <w:color w:val="0000FF" w:themeColor="accent1"/>
        </w:rPr>
        <w:t xml:space="preserve"> data</w:t>
      </w:r>
      <w:r w:rsidR="004C1161" w:rsidRPr="006375A4">
        <w:rPr>
          <w:color w:val="0000FF" w:themeColor="accent1"/>
        </w:rPr>
        <w:t xml:space="preserve">.  </w:t>
      </w:r>
      <w:r w:rsidR="00307A72">
        <w:rPr>
          <w:color w:val="0000FF" w:themeColor="accent1"/>
        </w:rPr>
        <w:t xml:space="preserve">Obtaining </w:t>
      </w:r>
      <w:r w:rsidR="00522279">
        <w:rPr>
          <w:color w:val="0000FF" w:themeColor="accent1"/>
        </w:rPr>
        <w:t xml:space="preserve">current and historic data </w:t>
      </w:r>
      <w:r w:rsidR="00610228">
        <w:rPr>
          <w:color w:val="0000FF" w:themeColor="accent1"/>
        </w:rPr>
        <w:t xml:space="preserve">enables analysis of how the vehicle population has changed over time.  </w:t>
      </w:r>
      <w:r w:rsidRPr="006375A4">
        <w:rPr>
          <w:color w:val="0000FF" w:themeColor="accent1"/>
        </w:rPr>
        <w:t>Compare the population of zero-emission vehicles to the total number of vehicles (zero-emission plus non-zero emission) in the project area</w:t>
      </w:r>
      <w:r w:rsidR="00610228">
        <w:rPr>
          <w:color w:val="0000FF" w:themeColor="accent1"/>
        </w:rPr>
        <w:t xml:space="preserve"> for </w:t>
      </w:r>
      <w:r w:rsidR="00C40BEA">
        <w:rPr>
          <w:color w:val="0000FF" w:themeColor="accent1"/>
        </w:rPr>
        <w:t>the two years</w:t>
      </w:r>
      <w:r w:rsidRPr="006375A4">
        <w:rPr>
          <w:color w:val="0000FF" w:themeColor="accent1"/>
        </w:rPr>
        <w:t xml:space="preserve">.  </w:t>
      </w:r>
    </w:p>
    <w:p w14:paraId="1AB3D349" w14:textId="37CED98B" w:rsidR="006375A4" w:rsidRPr="006375A4" w:rsidRDefault="006375A4" w:rsidP="006375A4">
      <w:pPr>
        <w:rPr>
          <w:color w:val="0000FF" w:themeColor="accent1"/>
        </w:rPr>
      </w:pPr>
      <w:r w:rsidRPr="006375A4">
        <w:rPr>
          <w:color w:val="0000FF" w:themeColor="accent1"/>
        </w:rPr>
        <w:t xml:space="preserve">Obtain the number of electric vehicle chargers and hydrogen refueling stations from the </w:t>
      </w:r>
      <w:r w:rsidR="0079414B">
        <w:rPr>
          <w:color w:val="0000FF" w:themeColor="accent1"/>
        </w:rPr>
        <w:t>CEC’s</w:t>
      </w:r>
      <w:r w:rsidRPr="006375A4">
        <w:rPr>
          <w:color w:val="0000FF" w:themeColor="accent1"/>
        </w:rPr>
        <w:t xml:space="preserve"> </w:t>
      </w:r>
      <w:hyperlink r:id="rId29" w:history="1">
        <w:r w:rsidRPr="006375A4">
          <w:rPr>
            <w:rStyle w:val="Hyperlink"/>
          </w:rPr>
          <w:t>Electric Vehicle Chargers in</w:t>
        </w:r>
        <w:r w:rsidRPr="006375A4">
          <w:rPr>
            <w:rStyle w:val="Hyperlink"/>
          </w:rPr>
          <w:t xml:space="preserve"> </w:t>
        </w:r>
        <w:r w:rsidRPr="006375A4">
          <w:rPr>
            <w:rStyle w:val="Hyperlink"/>
          </w:rPr>
          <w:t>California</w:t>
        </w:r>
      </w:hyperlink>
      <w:r w:rsidRPr="006375A4">
        <w:rPr>
          <w:b/>
          <w:bCs/>
          <w:color w:val="0000FF" w:themeColor="accent1"/>
        </w:rPr>
        <w:t xml:space="preserve"> </w:t>
      </w:r>
      <w:r w:rsidRPr="006375A4">
        <w:rPr>
          <w:color w:val="0000FF" w:themeColor="accent1"/>
        </w:rPr>
        <w:t xml:space="preserve">and </w:t>
      </w:r>
      <w:hyperlink r:id="rId30" w:history="1">
        <w:r w:rsidRPr="006375A4">
          <w:rPr>
            <w:rStyle w:val="Hyperlink"/>
          </w:rPr>
          <w:t>Hydroge</w:t>
        </w:r>
        <w:r w:rsidRPr="006375A4">
          <w:rPr>
            <w:rStyle w:val="Hyperlink"/>
          </w:rPr>
          <w:t>n</w:t>
        </w:r>
        <w:r w:rsidRPr="006375A4">
          <w:rPr>
            <w:rStyle w:val="Hyperlink"/>
          </w:rPr>
          <w:t xml:space="preserve"> Refueling Stations in California</w:t>
        </w:r>
      </w:hyperlink>
      <w:r w:rsidRPr="006375A4">
        <w:rPr>
          <w:b/>
          <w:bCs/>
          <w:color w:val="0000FF" w:themeColor="accent1"/>
        </w:rPr>
        <w:t xml:space="preserve"> </w:t>
      </w:r>
      <w:r w:rsidRPr="006375A4">
        <w:rPr>
          <w:color w:val="0000FF" w:themeColor="accent1"/>
        </w:rPr>
        <w:t xml:space="preserve">dashboards. Filter the dashboards </w:t>
      </w:r>
      <w:r w:rsidR="0079414B">
        <w:rPr>
          <w:color w:val="0000FF" w:themeColor="accent1"/>
        </w:rPr>
        <w:t>to</w:t>
      </w:r>
      <w:r w:rsidRPr="006375A4">
        <w:rPr>
          <w:color w:val="0000FF" w:themeColor="accent1"/>
        </w:rPr>
        <w:t xml:space="preserve"> the project county(</w:t>
      </w:r>
      <w:proofErr w:type="spellStart"/>
      <w:r w:rsidRPr="006375A4">
        <w:rPr>
          <w:color w:val="0000FF" w:themeColor="accent1"/>
        </w:rPr>
        <w:t>ies</w:t>
      </w:r>
      <w:proofErr w:type="spellEnd"/>
      <w:r w:rsidRPr="006375A4">
        <w:rPr>
          <w:color w:val="0000FF" w:themeColor="accent1"/>
        </w:rPr>
        <w:t>)</w:t>
      </w:r>
      <w:r w:rsidR="00DD02C9">
        <w:rPr>
          <w:color w:val="0000FF" w:themeColor="accent1"/>
        </w:rPr>
        <w:t xml:space="preserve"> and </w:t>
      </w:r>
      <w:r w:rsidR="00DD02C9" w:rsidRPr="006375A4">
        <w:rPr>
          <w:color w:val="0000FF" w:themeColor="accent1"/>
        </w:rPr>
        <w:t>the last year with available data</w:t>
      </w:r>
      <w:r w:rsidRPr="006375A4">
        <w:rPr>
          <w:color w:val="0000FF" w:themeColor="accent1"/>
        </w:rPr>
        <w:t xml:space="preserve">. </w:t>
      </w:r>
    </w:p>
    <w:p w14:paraId="6D8CFD6F" w14:textId="73A12728" w:rsidR="008B4697" w:rsidRDefault="00DD02C9" w:rsidP="006375A4">
      <w:pPr>
        <w:rPr>
          <w:color w:val="0000FF" w:themeColor="accent1"/>
        </w:rPr>
      </w:pPr>
      <w:r>
        <w:rPr>
          <w:color w:val="0000FF" w:themeColor="accent1"/>
        </w:rPr>
        <w:lastRenderedPageBreak/>
        <w:t xml:space="preserve">The following example </w:t>
      </w:r>
      <w:r w:rsidRPr="00C05F3F">
        <w:rPr>
          <w:color w:val="0000FF" w:themeColor="accent1"/>
        </w:rPr>
        <w:t xml:space="preserve">text </w:t>
      </w:r>
      <w:r>
        <w:rPr>
          <w:color w:val="0000FF" w:themeColor="accent1"/>
        </w:rPr>
        <w:t>is for Riverside County and</w:t>
      </w:r>
      <w:r w:rsidRPr="00C05F3F">
        <w:rPr>
          <w:color w:val="0000FF" w:themeColor="accent1"/>
        </w:rPr>
        <w:t xml:space="preserve"> based on data through the year 2022.</w:t>
      </w:r>
      <w:r>
        <w:rPr>
          <w:color w:val="0000FF" w:themeColor="accent1"/>
        </w:rPr>
        <w:t xml:space="preserve">  Access the CEC databases and adapt the example text to the local study area and to use the most recent data currently available</w:t>
      </w:r>
      <w:r w:rsidR="008B4697" w:rsidRPr="008A10ED">
        <w:rPr>
          <w:color w:val="0000FF" w:themeColor="accent1"/>
        </w:rPr>
        <w:t xml:space="preserve">. </w:t>
      </w:r>
    </w:p>
    <w:p w14:paraId="5D84DFBA" w14:textId="28A585B3" w:rsidR="005452DB" w:rsidRPr="005452DB" w:rsidRDefault="005452DB" w:rsidP="005452DB">
      <w:pPr>
        <w:rPr>
          <w:color w:val="A50021" w:themeColor="accent2"/>
        </w:rPr>
      </w:pPr>
      <w:r w:rsidRPr="00472599">
        <w:rPr>
          <w:color w:val="800080" w:themeColor="accent3"/>
        </w:rPr>
        <w:t xml:space="preserve">The population of zero-emission vehicles in </w:t>
      </w:r>
      <w:r w:rsidR="00DD02C9" w:rsidRPr="00472599">
        <w:rPr>
          <w:color w:val="800080" w:themeColor="accent3"/>
        </w:rPr>
        <w:t>Riverside County</w:t>
      </w:r>
      <w:r w:rsidRPr="00472599">
        <w:rPr>
          <w:color w:val="800080" w:themeColor="accent3"/>
        </w:rPr>
        <w:t xml:space="preserve"> is increasing</w:t>
      </w:r>
      <w:r w:rsidR="004C1161" w:rsidRPr="00472599">
        <w:rPr>
          <w:color w:val="800080" w:themeColor="accent3"/>
        </w:rPr>
        <w:t xml:space="preserve">.  </w:t>
      </w:r>
      <w:r w:rsidRPr="00472599">
        <w:rPr>
          <w:color w:val="800080" w:themeColor="accent3"/>
        </w:rPr>
        <w:t xml:space="preserve">In 2010, zero-emission vehicles comprised less than 1% of the total light-duty vehicle population in </w:t>
      </w:r>
      <w:r w:rsidR="00DD02C9" w:rsidRPr="00472599">
        <w:rPr>
          <w:color w:val="800080" w:themeColor="accent3"/>
        </w:rPr>
        <w:t>the county</w:t>
      </w:r>
      <w:r w:rsidR="004C1161" w:rsidRPr="00472599">
        <w:rPr>
          <w:color w:val="800080" w:themeColor="accent3"/>
        </w:rPr>
        <w:t xml:space="preserve">.  </w:t>
      </w:r>
      <w:r w:rsidRPr="00472599">
        <w:rPr>
          <w:color w:val="800080" w:themeColor="accent3"/>
        </w:rPr>
        <w:t xml:space="preserve">In 2022, zero-emission vehicles comprised </w:t>
      </w:r>
      <w:r w:rsidR="00DD02C9" w:rsidRPr="00472599">
        <w:rPr>
          <w:color w:val="800080" w:themeColor="accent3"/>
        </w:rPr>
        <w:t>about 2.7</w:t>
      </w:r>
      <w:r w:rsidRPr="00472599">
        <w:rPr>
          <w:color w:val="800080" w:themeColor="accent3"/>
        </w:rPr>
        <w:t>% of the total light-duty vehicle population (</w:t>
      </w:r>
      <w:r w:rsidR="00412315" w:rsidRPr="00472599">
        <w:rPr>
          <w:color w:val="800080" w:themeColor="accent3"/>
        </w:rPr>
        <w:t>CEC</w:t>
      </w:r>
      <w:r w:rsidRPr="00472599">
        <w:rPr>
          <w:color w:val="800080" w:themeColor="accent3"/>
        </w:rPr>
        <w:t xml:space="preserve"> 2023b)</w:t>
      </w:r>
      <w:r w:rsidR="004C1161" w:rsidRPr="00472599">
        <w:rPr>
          <w:color w:val="800080" w:themeColor="accent3"/>
        </w:rPr>
        <w:t xml:space="preserve">.  </w:t>
      </w:r>
      <w:r w:rsidRPr="00472599">
        <w:rPr>
          <w:color w:val="800080" w:themeColor="accent3"/>
        </w:rPr>
        <w:t xml:space="preserve">There are currently </w:t>
      </w:r>
      <w:r w:rsidR="00DD02C9" w:rsidRPr="00472599">
        <w:rPr>
          <w:color w:val="800080" w:themeColor="accent3"/>
        </w:rPr>
        <w:t>1,834</w:t>
      </w:r>
      <w:r w:rsidRPr="00472599">
        <w:rPr>
          <w:color w:val="800080" w:themeColor="accent3"/>
        </w:rPr>
        <w:t xml:space="preserve"> public and shared private electric vehicle charge</w:t>
      </w:r>
      <w:r w:rsidR="008F6875">
        <w:rPr>
          <w:color w:val="800080" w:themeColor="accent3"/>
        </w:rPr>
        <w:t>r</w:t>
      </w:r>
      <w:r w:rsidRPr="00472599">
        <w:rPr>
          <w:color w:val="800080" w:themeColor="accent3"/>
        </w:rPr>
        <w:t xml:space="preserve">s </w:t>
      </w:r>
      <w:r w:rsidR="00DD02C9" w:rsidRPr="00472599">
        <w:rPr>
          <w:color w:val="800080" w:themeColor="accent3"/>
        </w:rPr>
        <w:t>in Riverside County</w:t>
      </w:r>
      <w:r w:rsidRPr="00472599">
        <w:rPr>
          <w:color w:val="800080" w:themeColor="accent3"/>
        </w:rPr>
        <w:t xml:space="preserve"> </w:t>
      </w:r>
      <w:r w:rsidR="00DD02C9" w:rsidRPr="00472599">
        <w:rPr>
          <w:color w:val="800080" w:themeColor="accent3"/>
        </w:rPr>
        <w:t xml:space="preserve">and six operational </w:t>
      </w:r>
      <w:r w:rsidRPr="00472599">
        <w:rPr>
          <w:color w:val="800080" w:themeColor="accent3"/>
        </w:rPr>
        <w:t>or planned hydrogen refueling stations (</w:t>
      </w:r>
      <w:r w:rsidR="00412315" w:rsidRPr="00472599">
        <w:rPr>
          <w:color w:val="800080" w:themeColor="accent3"/>
        </w:rPr>
        <w:t>CEC</w:t>
      </w:r>
      <w:r w:rsidRPr="00472599">
        <w:rPr>
          <w:color w:val="800080" w:themeColor="accent3"/>
        </w:rPr>
        <w:t xml:space="preserve"> 2023</w:t>
      </w:r>
      <w:r w:rsidR="009F40BF">
        <w:rPr>
          <w:color w:val="800080" w:themeColor="accent3"/>
        </w:rPr>
        <w:t>g</w:t>
      </w:r>
      <w:r w:rsidRPr="00472599">
        <w:rPr>
          <w:color w:val="800080" w:themeColor="accent3"/>
        </w:rPr>
        <w:t>, 2023</w:t>
      </w:r>
      <w:r w:rsidR="009F40BF">
        <w:rPr>
          <w:color w:val="800080" w:themeColor="accent3"/>
        </w:rPr>
        <w:t>h</w:t>
      </w:r>
      <w:r w:rsidRPr="00472599">
        <w:rPr>
          <w:color w:val="800080" w:themeColor="accent3"/>
        </w:rPr>
        <w:t xml:space="preserve">). </w:t>
      </w:r>
      <w:r w:rsidR="007C7640" w:rsidRPr="00472599">
        <w:rPr>
          <w:color w:val="800080" w:themeColor="accent3"/>
        </w:rPr>
        <w:t xml:space="preserve"> </w:t>
      </w:r>
      <w:r w:rsidR="007C7640" w:rsidRPr="004C0E8D">
        <w:rPr>
          <w:b/>
          <w:bCs/>
          <w:color w:val="0000FF" w:themeColor="accent1"/>
        </w:rPr>
        <w:t xml:space="preserve">[End </w:t>
      </w:r>
      <w:r w:rsidR="00DD02C9">
        <w:rPr>
          <w:b/>
          <w:bCs/>
          <w:color w:val="0000FF" w:themeColor="accent1"/>
        </w:rPr>
        <w:t>example</w:t>
      </w:r>
      <w:r w:rsidR="007C7640" w:rsidRPr="004C0E8D">
        <w:rPr>
          <w:b/>
          <w:bCs/>
          <w:color w:val="0000FF" w:themeColor="accent1"/>
        </w:rPr>
        <w:t>]</w:t>
      </w:r>
      <w:r w:rsidR="007C7640" w:rsidRPr="004C0E8D">
        <w:rPr>
          <w:color w:val="0000FF" w:themeColor="accent1"/>
        </w:rPr>
        <w:t xml:space="preserve">  </w:t>
      </w:r>
    </w:p>
    <w:p w14:paraId="7CB7A9C0" w14:textId="77777777" w:rsidR="0099598E" w:rsidRPr="00305D45" w:rsidRDefault="0099598E" w:rsidP="0099598E">
      <w:pPr>
        <w:pStyle w:val="Heading2"/>
      </w:pPr>
      <w:bookmarkStart w:id="102" w:name="_Toc150334788"/>
      <w:bookmarkStart w:id="103" w:name="_Toc157429585"/>
      <w:r>
        <w:t>Project Area Conditions</w:t>
      </w:r>
      <w:bookmarkEnd w:id="102"/>
      <w:bookmarkEnd w:id="103"/>
      <w:r>
        <w:t xml:space="preserve"> </w:t>
      </w:r>
    </w:p>
    <w:p w14:paraId="5B698FCE" w14:textId="77777777" w:rsidR="00E55C9F" w:rsidRDefault="00E55C9F" w:rsidP="00E55C9F">
      <w:pPr>
        <w:pStyle w:val="IntroGuidanceHeading1"/>
      </w:pPr>
      <w:r>
        <w:t>GUIDANCE</w:t>
      </w:r>
    </w:p>
    <w:p w14:paraId="4E955F08" w14:textId="08681535" w:rsidR="00E55C9F" w:rsidRDefault="00CB2DC7" w:rsidP="00E55C9F">
      <w:pPr>
        <w:rPr>
          <w:color w:val="0000FF" w:themeColor="accent1"/>
        </w:rPr>
      </w:pPr>
      <w:r w:rsidRPr="00CB2DC7">
        <w:rPr>
          <w:color w:val="0000FF" w:themeColor="accent1"/>
        </w:rPr>
        <w:t>Briefly describe existing conditions in the project area that affect energy usage</w:t>
      </w:r>
      <w:r w:rsidR="004C1161" w:rsidRPr="00CB2DC7">
        <w:rPr>
          <w:color w:val="0000FF" w:themeColor="accent1"/>
        </w:rPr>
        <w:t xml:space="preserve">.  </w:t>
      </w:r>
      <w:r w:rsidRPr="00CB2DC7">
        <w:rPr>
          <w:color w:val="0000FF" w:themeColor="accent1"/>
        </w:rPr>
        <w:t xml:space="preserve">Identify if there are existing </w:t>
      </w:r>
      <w:bookmarkStart w:id="104" w:name="_Hlk149028686"/>
      <w:r w:rsidRPr="00CB2DC7">
        <w:rPr>
          <w:color w:val="0000FF" w:themeColor="accent1"/>
        </w:rPr>
        <w:t xml:space="preserve">traffic management system (TMS) </w:t>
      </w:r>
      <w:bookmarkEnd w:id="104"/>
      <w:r w:rsidRPr="00CB2DC7">
        <w:rPr>
          <w:color w:val="0000FF" w:themeColor="accent1"/>
        </w:rPr>
        <w:t>elements in place</w:t>
      </w:r>
      <w:r w:rsidR="004C1161" w:rsidRPr="00CB2DC7">
        <w:rPr>
          <w:color w:val="0000FF" w:themeColor="accent1"/>
        </w:rPr>
        <w:t xml:space="preserve">.  </w:t>
      </w:r>
      <w:r w:rsidRPr="00CB2DC7">
        <w:rPr>
          <w:color w:val="0000FF" w:themeColor="accent1"/>
        </w:rPr>
        <w:t>Identify any roadway or facility lighting</w:t>
      </w:r>
      <w:r w:rsidR="004C1161" w:rsidRPr="00CB2DC7">
        <w:rPr>
          <w:color w:val="0000FF" w:themeColor="accent1"/>
        </w:rPr>
        <w:t xml:space="preserve">.  </w:t>
      </w:r>
      <w:r w:rsidRPr="00CB2DC7">
        <w:rPr>
          <w:color w:val="0000FF" w:themeColor="accent1"/>
        </w:rPr>
        <w:t xml:space="preserve">Identify the local electric utility provider(s) in the project area and summarize their existing generation mix. </w:t>
      </w:r>
      <w:r w:rsidR="00D93CBA">
        <w:rPr>
          <w:color w:val="0000FF" w:themeColor="accent1"/>
        </w:rPr>
        <w:t>Annual p</w:t>
      </w:r>
      <w:r w:rsidRPr="00CB2DC7">
        <w:rPr>
          <w:color w:val="0000FF" w:themeColor="accent1"/>
        </w:rPr>
        <w:t xml:space="preserve">ower content labels for retail suppliers can be obtained from the </w:t>
      </w:r>
      <w:r>
        <w:rPr>
          <w:color w:val="0000FF" w:themeColor="accent1"/>
        </w:rPr>
        <w:t>CEC’s</w:t>
      </w:r>
      <w:r w:rsidRPr="00CB2DC7">
        <w:rPr>
          <w:color w:val="0000FF" w:themeColor="accent1"/>
        </w:rPr>
        <w:t xml:space="preserve"> </w:t>
      </w:r>
      <w:hyperlink r:id="rId31" w:history="1">
        <w:r w:rsidR="00D93CBA" w:rsidRPr="00D93CBA">
          <w:rPr>
            <w:rStyle w:val="Hyperlink"/>
          </w:rPr>
          <w:t>Power Source Disclos</w:t>
        </w:r>
        <w:r w:rsidR="00D93CBA" w:rsidRPr="00D93CBA">
          <w:rPr>
            <w:rStyle w:val="Hyperlink"/>
          </w:rPr>
          <w:t>u</w:t>
        </w:r>
        <w:r w:rsidR="00D93CBA" w:rsidRPr="00D93CBA">
          <w:rPr>
            <w:rStyle w:val="Hyperlink"/>
          </w:rPr>
          <w:t>re Program</w:t>
        </w:r>
      </w:hyperlink>
      <w:r w:rsidR="00D93CBA">
        <w:rPr>
          <w:color w:val="0000FF" w:themeColor="accent1"/>
        </w:rPr>
        <w:t xml:space="preserve">. </w:t>
      </w:r>
      <w:r w:rsidR="006150F7">
        <w:rPr>
          <w:color w:val="0000FF" w:themeColor="accent1"/>
        </w:rPr>
        <w:t xml:space="preserve"> </w:t>
      </w:r>
      <w:r w:rsidR="006150F7" w:rsidRPr="006150F7">
        <w:rPr>
          <w:color w:val="0000FF" w:themeColor="accent1"/>
        </w:rPr>
        <w:t xml:space="preserve">Describe </w:t>
      </w:r>
      <w:r w:rsidR="006150F7">
        <w:rPr>
          <w:color w:val="0000FF" w:themeColor="accent1"/>
        </w:rPr>
        <w:t xml:space="preserve">the </w:t>
      </w:r>
      <w:r w:rsidR="006150F7" w:rsidRPr="006150F7">
        <w:rPr>
          <w:color w:val="0000FF" w:themeColor="accent1"/>
        </w:rPr>
        <w:t>availability or accessibility of power source</w:t>
      </w:r>
      <w:r w:rsidR="006150F7">
        <w:rPr>
          <w:color w:val="0000FF" w:themeColor="accent1"/>
        </w:rPr>
        <w:t>s</w:t>
      </w:r>
      <w:r w:rsidR="006150F7" w:rsidRPr="006150F7">
        <w:rPr>
          <w:color w:val="0000FF" w:themeColor="accent1"/>
        </w:rPr>
        <w:t xml:space="preserve">.  The project may use utilities or generators if </w:t>
      </w:r>
      <w:r w:rsidR="00D57526">
        <w:rPr>
          <w:color w:val="0000FF" w:themeColor="accent1"/>
        </w:rPr>
        <w:t>they are</w:t>
      </w:r>
      <w:r w:rsidR="006150F7" w:rsidRPr="006150F7">
        <w:rPr>
          <w:color w:val="0000FF" w:themeColor="accent1"/>
        </w:rPr>
        <w:t xml:space="preserve"> not accessible</w:t>
      </w:r>
      <w:r w:rsidR="00D57526">
        <w:rPr>
          <w:color w:val="0000FF" w:themeColor="accent1"/>
        </w:rPr>
        <w:t xml:space="preserve">. </w:t>
      </w:r>
      <w:r>
        <w:rPr>
          <w:color w:val="0000FF" w:themeColor="accent1"/>
        </w:rPr>
        <w:t xml:space="preserve"> </w:t>
      </w:r>
      <w:r w:rsidRPr="00CB2DC7">
        <w:rPr>
          <w:color w:val="0000FF" w:themeColor="accent1"/>
        </w:rPr>
        <w:t>Refer readers to the subsequent sections for discussion on existing traffic conditions, vehicle mix, and pavement conditions</w:t>
      </w:r>
      <w:r w:rsidR="00F94684" w:rsidRPr="006375A4">
        <w:rPr>
          <w:color w:val="0000FF" w:themeColor="accent1"/>
        </w:rPr>
        <w:t xml:space="preserve">.  </w:t>
      </w:r>
      <w:r w:rsidR="00F56C3C">
        <w:rPr>
          <w:color w:val="0000FF" w:themeColor="accent1"/>
        </w:rPr>
        <w:t>The following is example language.</w:t>
      </w:r>
    </w:p>
    <w:p w14:paraId="09F65708" w14:textId="70140CDE" w:rsidR="00752C53" w:rsidRPr="00752C53" w:rsidRDefault="00752C53" w:rsidP="00752C53">
      <w:pPr>
        <w:rPr>
          <w:b/>
          <w:bCs/>
        </w:rPr>
      </w:pPr>
      <w:r w:rsidRPr="00752C53">
        <w:rPr>
          <w:color w:val="800080" w:themeColor="accent3"/>
        </w:rPr>
        <w:t>The project area includes lighting along the interchange but does not currently include any transportation management system (TMS) elements</w:t>
      </w:r>
      <w:r w:rsidR="004C1161" w:rsidRPr="00752C53">
        <w:rPr>
          <w:color w:val="800080" w:themeColor="accent3"/>
        </w:rPr>
        <w:t xml:space="preserve">.  </w:t>
      </w:r>
      <w:r w:rsidRPr="00752C53">
        <w:rPr>
          <w:color w:val="800080" w:themeColor="accent3"/>
        </w:rPr>
        <w:t>Southern California Edison (SCE) provides electric service to the project area</w:t>
      </w:r>
      <w:r w:rsidR="004C1161" w:rsidRPr="00752C53">
        <w:rPr>
          <w:color w:val="800080" w:themeColor="accent3"/>
        </w:rPr>
        <w:t xml:space="preserve">.  </w:t>
      </w:r>
      <w:r w:rsidRPr="00752C53">
        <w:rPr>
          <w:color w:val="800080" w:themeColor="accent3"/>
        </w:rPr>
        <w:t>SCE (2021) has a diverse mix of energy</w:t>
      </w:r>
      <w:r w:rsidR="0078227D">
        <w:rPr>
          <w:color w:val="800080" w:themeColor="accent3"/>
        </w:rPr>
        <w:t>-</w:t>
      </w:r>
      <w:r w:rsidRPr="00752C53">
        <w:rPr>
          <w:color w:val="800080" w:themeColor="accent3"/>
        </w:rPr>
        <w:t>generating resources, with 31.4% of retail electricity delivered in 2020 from RPS-eligible renewable resources</w:t>
      </w:r>
      <w:r w:rsidR="004C1161" w:rsidRPr="00752C53">
        <w:rPr>
          <w:color w:val="800080" w:themeColor="accent3"/>
        </w:rPr>
        <w:t xml:space="preserve">.  </w:t>
      </w:r>
      <w:r w:rsidRPr="00752C53">
        <w:rPr>
          <w:color w:val="800080" w:themeColor="accent3"/>
        </w:rPr>
        <w:t>Additional details regarding existing conditions in the project area that affect energy usage, including existing traffic conditions, vehicle mix, and pavement surfaces, are included below.</w:t>
      </w:r>
      <w:r w:rsidRPr="00752C53">
        <w:rPr>
          <w:b/>
          <w:bCs/>
          <w:color w:val="800080" w:themeColor="accent3"/>
        </w:rPr>
        <w:t xml:space="preserve"> </w:t>
      </w:r>
      <w:r>
        <w:rPr>
          <w:b/>
          <w:bCs/>
          <w:color w:val="800080" w:themeColor="accent3"/>
        </w:rPr>
        <w:t xml:space="preserve"> </w:t>
      </w:r>
      <w:r w:rsidRPr="00752C53">
        <w:rPr>
          <w:b/>
          <w:bCs/>
          <w:color w:val="0000FF" w:themeColor="accent1"/>
        </w:rPr>
        <w:t>[End example]</w:t>
      </w:r>
    </w:p>
    <w:p w14:paraId="0FEF36C7" w14:textId="1A2CE7A3" w:rsidR="0099598E" w:rsidRPr="00612793" w:rsidRDefault="0099598E" w:rsidP="00E55C9F">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CF81A9F" w14:textId="147FA202" w:rsidR="0099598E" w:rsidRDefault="00B04096" w:rsidP="0099598E">
      <w:pPr>
        <w:pStyle w:val="Heading3"/>
      </w:pPr>
      <w:bookmarkStart w:id="105" w:name="_Toc150334789"/>
      <w:bookmarkStart w:id="106" w:name="_Toc157429586"/>
      <w:r>
        <w:t>Existing</w:t>
      </w:r>
      <w:r w:rsidR="0099598E">
        <w:t xml:space="preserve"> Traffic Conditions</w:t>
      </w:r>
      <w:bookmarkEnd w:id="105"/>
      <w:bookmarkEnd w:id="106"/>
      <w:r w:rsidR="0099598E">
        <w:t xml:space="preserve"> </w:t>
      </w:r>
    </w:p>
    <w:p w14:paraId="2A9BFD05" w14:textId="77777777" w:rsidR="00487119" w:rsidRDefault="00487119" w:rsidP="00487119">
      <w:pPr>
        <w:pStyle w:val="IntroGuidanceHeading1"/>
      </w:pPr>
      <w:r>
        <w:t>GUIDANCE</w:t>
      </w:r>
    </w:p>
    <w:p w14:paraId="3D466955" w14:textId="44F52ABA" w:rsidR="00487119" w:rsidRDefault="004576FC" w:rsidP="00487119">
      <w:pPr>
        <w:rPr>
          <w:color w:val="0000FF" w:themeColor="accent1"/>
        </w:rPr>
      </w:pPr>
      <w:r w:rsidRPr="004576FC">
        <w:rPr>
          <w:color w:val="0000FF" w:themeColor="accent1"/>
        </w:rPr>
        <w:t xml:space="preserve">Document existing traffic conditions in the project area as they relate to volumes, congestion, and delay.  </w:t>
      </w:r>
      <w:r w:rsidR="00D57526">
        <w:rPr>
          <w:color w:val="0000FF" w:themeColor="accent1"/>
        </w:rPr>
        <w:t>If available, c</w:t>
      </w:r>
      <w:r w:rsidRPr="004576FC">
        <w:rPr>
          <w:color w:val="0000FF" w:themeColor="accent1"/>
        </w:rPr>
        <w:t>onsult the project Traffic Operations Analysis Report to complete this section</w:t>
      </w:r>
      <w:r w:rsidR="00D57526">
        <w:rPr>
          <w:color w:val="0000FF" w:themeColor="accent1"/>
        </w:rPr>
        <w:t xml:space="preserve">.  If not available, request information from the </w:t>
      </w:r>
      <w:r w:rsidR="00FD3A33">
        <w:rPr>
          <w:color w:val="0000FF" w:themeColor="accent1"/>
        </w:rPr>
        <w:t xml:space="preserve">Environmental Generalist/Planner </w:t>
      </w:r>
      <w:r w:rsidR="00D57526">
        <w:rPr>
          <w:color w:val="0000FF" w:themeColor="accent1"/>
        </w:rPr>
        <w:t>or from traffic operations</w:t>
      </w:r>
      <w:r w:rsidR="004C1161" w:rsidRPr="006375A4">
        <w:rPr>
          <w:color w:val="0000FF" w:themeColor="accent1"/>
        </w:rPr>
        <w:t xml:space="preserve">. </w:t>
      </w:r>
      <w:r w:rsidR="00F56C3C" w:rsidRPr="00F56C3C">
        <w:rPr>
          <w:color w:val="0000FF" w:themeColor="accent1"/>
        </w:rPr>
        <w:t xml:space="preserve"> </w:t>
      </w:r>
      <w:r w:rsidR="00F56C3C">
        <w:rPr>
          <w:color w:val="0000FF" w:themeColor="accent1"/>
        </w:rPr>
        <w:t>The following is example language.</w:t>
      </w:r>
    </w:p>
    <w:p w14:paraId="70DD67C7" w14:textId="69DB608D" w:rsidR="00C60C3B" w:rsidRPr="00C60C3B" w:rsidRDefault="00C60C3B" w:rsidP="00C60C3B">
      <w:pPr>
        <w:rPr>
          <w:color w:val="800080" w:themeColor="accent3"/>
        </w:rPr>
      </w:pPr>
      <w:r w:rsidRPr="00C60C3B">
        <w:rPr>
          <w:color w:val="800080" w:themeColor="accent3"/>
        </w:rPr>
        <w:t>I-400 serves as an essential corridor for movement of people and goods on the west coast of the United States</w:t>
      </w:r>
      <w:r w:rsidR="004C1161" w:rsidRPr="00C60C3B">
        <w:rPr>
          <w:color w:val="800080" w:themeColor="accent3"/>
        </w:rPr>
        <w:t xml:space="preserve">.  </w:t>
      </w:r>
      <w:r w:rsidRPr="00C60C3B">
        <w:rPr>
          <w:color w:val="800080" w:themeColor="accent3"/>
        </w:rPr>
        <w:t>The I-400/Roadway A interchange is a primary access point to the Commercial District and Central Business District</w:t>
      </w:r>
      <w:r w:rsidR="004C1161" w:rsidRPr="00C60C3B">
        <w:rPr>
          <w:color w:val="800080" w:themeColor="accent3"/>
        </w:rPr>
        <w:t xml:space="preserve">.  </w:t>
      </w:r>
      <w:r w:rsidRPr="00C60C3B">
        <w:rPr>
          <w:color w:val="800080" w:themeColor="accent3"/>
        </w:rPr>
        <w:t xml:space="preserve">According to the Traffic </w:t>
      </w:r>
      <w:r w:rsidRPr="00C60C3B">
        <w:rPr>
          <w:color w:val="800080" w:themeColor="accent3"/>
        </w:rPr>
        <w:lastRenderedPageBreak/>
        <w:t>Operations Analysis Report prepared for the project, existing (202</w:t>
      </w:r>
      <w:r w:rsidR="00D57526">
        <w:rPr>
          <w:color w:val="800080" w:themeColor="accent3"/>
        </w:rPr>
        <w:t>3</w:t>
      </w:r>
      <w:r w:rsidRPr="00C60C3B">
        <w:rPr>
          <w:color w:val="800080" w:themeColor="accent3"/>
        </w:rPr>
        <w:t>) annual VMT through the project area are 285 million (Traffic Consultants 2023)</w:t>
      </w:r>
      <w:r w:rsidR="004C1161" w:rsidRPr="00C60C3B">
        <w:rPr>
          <w:color w:val="800080" w:themeColor="accent3"/>
        </w:rPr>
        <w:t xml:space="preserve">.  </w:t>
      </w:r>
      <w:r w:rsidRPr="00C60C3B">
        <w:rPr>
          <w:color w:val="800080" w:themeColor="accent3"/>
        </w:rPr>
        <w:t>The VMT data accounts for vehicle activity within the six-county region.</w:t>
      </w:r>
    </w:p>
    <w:p w14:paraId="78E32DAF" w14:textId="2013DF2F" w:rsidR="00C60C3B" w:rsidRPr="00C60C3B" w:rsidRDefault="00C60C3B" w:rsidP="00C60C3B">
      <w:pPr>
        <w:rPr>
          <w:color w:val="800080" w:themeColor="accent3"/>
        </w:rPr>
      </w:pPr>
      <w:r w:rsidRPr="00C60C3B">
        <w:rPr>
          <w:color w:val="800080" w:themeColor="accent3"/>
        </w:rPr>
        <w:t xml:space="preserve">The Traffic Operations Analysis Report indicates that all freeway facilities and intersections in the project area operate acceptably at </w:t>
      </w:r>
      <w:r w:rsidRPr="00AA033C">
        <w:rPr>
          <w:color w:val="800080" w:themeColor="accent3"/>
        </w:rPr>
        <w:t>level of service (LOS) D</w:t>
      </w:r>
      <w:r w:rsidRPr="00C60C3B">
        <w:rPr>
          <w:color w:val="800080" w:themeColor="accent3"/>
        </w:rPr>
        <w:t xml:space="preserve"> or better under existing (202</w:t>
      </w:r>
      <w:r w:rsidR="00D57526">
        <w:rPr>
          <w:color w:val="800080" w:themeColor="accent3"/>
        </w:rPr>
        <w:t>3</w:t>
      </w:r>
      <w:r w:rsidRPr="00C60C3B">
        <w:rPr>
          <w:color w:val="800080" w:themeColor="accent3"/>
        </w:rPr>
        <w:t xml:space="preserve">) conditions (Traffic Consultants 2023). </w:t>
      </w:r>
      <w:r w:rsidR="00762BB4">
        <w:rPr>
          <w:color w:val="800080" w:themeColor="accent3"/>
        </w:rPr>
        <w:t xml:space="preserve"> </w:t>
      </w:r>
      <w:r w:rsidRPr="00C60C3B">
        <w:rPr>
          <w:color w:val="800080" w:themeColor="accent3"/>
        </w:rPr>
        <w:t>In addition, during the morning and afternoon peak travel periods, conditions on I-400 in the eastbound and westbound directions are currently free-flow</w:t>
      </w:r>
      <w:r w:rsidR="004C1161" w:rsidRPr="00C60C3B">
        <w:rPr>
          <w:color w:val="800080" w:themeColor="accent3"/>
        </w:rPr>
        <w:t xml:space="preserve">.  </w:t>
      </w:r>
      <w:r w:rsidRPr="00C60C3B">
        <w:rPr>
          <w:color w:val="800080" w:themeColor="accent3"/>
        </w:rPr>
        <w:t>However, the following locations were found to exceed the roadway storage capacity during the morning peak travel period, resulting in vehicle queuing:</w:t>
      </w:r>
    </w:p>
    <w:p w14:paraId="3E5C7E19" w14:textId="77777777" w:rsidR="00C60C3B" w:rsidRPr="00C60C3B" w:rsidRDefault="00C60C3B" w:rsidP="00C60C3B">
      <w:pPr>
        <w:pStyle w:val="ListParagraph"/>
        <w:numPr>
          <w:ilvl w:val="0"/>
          <w:numId w:val="16"/>
        </w:numPr>
        <w:rPr>
          <w:color w:val="800080" w:themeColor="accent3"/>
        </w:rPr>
      </w:pPr>
      <w:r w:rsidRPr="00C60C3B">
        <w:rPr>
          <w:color w:val="800080" w:themeColor="accent3"/>
        </w:rPr>
        <w:t>Northbound left-turn (Westbound Ramps/Roadway A)</w:t>
      </w:r>
    </w:p>
    <w:p w14:paraId="7D5E51BB" w14:textId="77777777" w:rsidR="00C60C3B" w:rsidRPr="00C60C3B" w:rsidRDefault="00C60C3B" w:rsidP="00C60C3B">
      <w:pPr>
        <w:pStyle w:val="ListParagraph"/>
        <w:numPr>
          <w:ilvl w:val="0"/>
          <w:numId w:val="16"/>
        </w:numPr>
        <w:rPr>
          <w:color w:val="800080" w:themeColor="accent3"/>
        </w:rPr>
      </w:pPr>
      <w:r w:rsidRPr="00C60C3B">
        <w:rPr>
          <w:color w:val="800080" w:themeColor="accent3"/>
        </w:rPr>
        <w:t>Southbound right-turn (Westbound Ramps/Roadway A)</w:t>
      </w:r>
    </w:p>
    <w:p w14:paraId="2F758F38" w14:textId="0C74E948" w:rsidR="00487119" w:rsidRPr="00C60C3B" w:rsidRDefault="00C60C3B" w:rsidP="00C60C3B">
      <w:pPr>
        <w:pStyle w:val="ListParagraph"/>
        <w:numPr>
          <w:ilvl w:val="0"/>
          <w:numId w:val="16"/>
        </w:numPr>
        <w:rPr>
          <w:color w:val="800080" w:themeColor="accent3"/>
        </w:rPr>
      </w:pPr>
      <w:r w:rsidRPr="00C60C3B">
        <w:rPr>
          <w:color w:val="800080" w:themeColor="accent3"/>
        </w:rPr>
        <w:t>Southbound left-turn (Eastbound Ramps/Roadway A)</w:t>
      </w:r>
      <w:r w:rsidR="0045729F">
        <w:rPr>
          <w:color w:val="800080" w:themeColor="accent3"/>
        </w:rPr>
        <w:t xml:space="preserve"> </w:t>
      </w:r>
      <w:r w:rsidR="0045729F" w:rsidRPr="00752C53">
        <w:rPr>
          <w:b/>
          <w:bCs/>
          <w:color w:val="0000FF" w:themeColor="accent1"/>
        </w:rPr>
        <w:t>[End example]</w:t>
      </w:r>
    </w:p>
    <w:p w14:paraId="263F3EB1" w14:textId="59C681FC"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70C75AA" w14:textId="6D1B7D13" w:rsidR="0099598E" w:rsidRDefault="0099598E" w:rsidP="0099598E">
      <w:pPr>
        <w:pStyle w:val="Heading3"/>
      </w:pPr>
      <w:bookmarkStart w:id="107" w:name="_Toc150334790"/>
      <w:bookmarkStart w:id="108" w:name="_Toc157429587"/>
      <w:r>
        <w:t>Existing Vehicle Mix</w:t>
      </w:r>
      <w:bookmarkEnd w:id="108"/>
      <w:r>
        <w:t xml:space="preserve"> </w:t>
      </w:r>
      <w:bookmarkEnd w:id="107"/>
    </w:p>
    <w:p w14:paraId="1F461EF7" w14:textId="77777777" w:rsidR="00941013" w:rsidRDefault="00941013" w:rsidP="00941013">
      <w:pPr>
        <w:pStyle w:val="IntroGuidanceHeading1"/>
      </w:pPr>
      <w:r>
        <w:t>GUIDANCE</w:t>
      </w:r>
    </w:p>
    <w:p w14:paraId="632F5C1B" w14:textId="7E475BA7" w:rsidR="009F40BF" w:rsidRDefault="001006CF" w:rsidP="00941013">
      <w:pPr>
        <w:rPr>
          <w:color w:val="0000FF" w:themeColor="accent1"/>
        </w:rPr>
      </w:pPr>
      <w:r w:rsidRPr="001006CF">
        <w:rPr>
          <w:color w:val="0000FF" w:themeColor="accent1"/>
        </w:rPr>
        <w:t>Provide average daily traffic and truck volumes</w:t>
      </w:r>
      <w:r w:rsidR="004C1161" w:rsidRPr="001006CF">
        <w:rPr>
          <w:color w:val="0000FF" w:themeColor="accent1"/>
        </w:rPr>
        <w:t xml:space="preserve">.  </w:t>
      </w:r>
      <w:r w:rsidR="009F40BF">
        <w:rPr>
          <w:color w:val="0000FF" w:themeColor="accent1"/>
        </w:rPr>
        <w:t>If available, c</w:t>
      </w:r>
      <w:r w:rsidR="009F40BF" w:rsidRPr="004576FC">
        <w:rPr>
          <w:color w:val="0000FF" w:themeColor="accent1"/>
        </w:rPr>
        <w:t xml:space="preserve">onsult </w:t>
      </w:r>
      <w:r w:rsidRPr="001006CF">
        <w:rPr>
          <w:color w:val="0000FF" w:themeColor="accent1"/>
        </w:rPr>
        <w:t xml:space="preserve">the project Traffic Operations Analysis Report for this information.  </w:t>
      </w:r>
      <w:r w:rsidR="009F40BF">
        <w:rPr>
          <w:color w:val="0000FF" w:themeColor="accent1"/>
        </w:rPr>
        <w:t xml:space="preserve">If not available, request information from the </w:t>
      </w:r>
      <w:r w:rsidR="00FD3A33">
        <w:rPr>
          <w:color w:val="0000FF" w:themeColor="accent1"/>
        </w:rPr>
        <w:t xml:space="preserve">Environmental Generalist/Planner </w:t>
      </w:r>
      <w:r w:rsidR="009F40BF">
        <w:rPr>
          <w:color w:val="0000FF" w:themeColor="accent1"/>
        </w:rPr>
        <w:t>or from traffic operations</w:t>
      </w:r>
      <w:r w:rsidR="009F40BF" w:rsidRPr="006375A4">
        <w:rPr>
          <w:color w:val="0000FF" w:themeColor="accent1"/>
        </w:rPr>
        <w:t>.</w:t>
      </w:r>
      <w:r w:rsidR="009F40BF">
        <w:rPr>
          <w:color w:val="0000FF" w:themeColor="accent1"/>
        </w:rPr>
        <w:t xml:space="preserve">  Alternatively, historical </w:t>
      </w:r>
      <w:r w:rsidR="009F40BF" w:rsidRPr="001006CF">
        <w:rPr>
          <w:color w:val="0000FF" w:themeColor="accent1"/>
        </w:rPr>
        <w:t>average daily traffic and truck volumes</w:t>
      </w:r>
      <w:r w:rsidR="009F40BF">
        <w:rPr>
          <w:color w:val="0000FF" w:themeColor="accent1"/>
        </w:rPr>
        <w:t xml:space="preserve"> on state highways are available from the </w:t>
      </w:r>
      <w:hyperlink r:id="rId32" w:history="1">
        <w:r w:rsidR="009F40BF" w:rsidRPr="009F40BF">
          <w:rPr>
            <w:rStyle w:val="Hyperlink"/>
          </w:rPr>
          <w:t>Caltrans Traffic Census Pr</w:t>
        </w:r>
        <w:r w:rsidR="009F40BF" w:rsidRPr="009F40BF">
          <w:rPr>
            <w:rStyle w:val="Hyperlink"/>
          </w:rPr>
          <w:t>o</w:t>
        </w:r>
        <w:r w:rsidR="009F40BF" w:rsidRPr="009F40BF">
          <w:rPr>
            <w:rStyle w:val="Hyperlink"/>
          </w:rPr>
          <w:t>gram</w:t>
        </w:r>
      </w:hyperlink>
      <w:r w:rsidR="009F40BF">
        <w:rPr>
          <w:color w:val="0000FF" w:themeColor="accent1"/>
        </w:rPr>
        <w:t>.  Download the spreadsheets with the latest calendar year data and filter them to the affected state route and relative post miles</w:t>
      </w:r>
      <w:r w:rsidR="00197E5A">
        <w:rPr>
          <w:color w:val="0000FF" w:themeColor="accent1"/>
        </w:rPr>
        <w:t xml:space="preserve">.  </w:t>
      </w:r>
      <w:r w:rsidR="003F4B54">
        <w:rPr>
          <w:color w:val="0000FF" w:themeColor="accent1"/>
        </w:rPr>
        <w:t>A t</w:t>
      </w:r>
      <w:r w:rsidR="003F4B54" w:rsidRPr="001006CF">
        <w:rPr>
          <w:color w:val="0000FF" w:themeColor="accent1"/>
        </w:rPr>
        <w:t>able may be useful to convey information</w:t>
      </w:r>
      <w:r w:rsidR="003F4B54" w:rsidRPr="006375A4">
        <w:rPr>
          <w:color w:val="0000FF" w:themeColor="accent1"/>
        </w:rPr>
        <w:t>.</w:t>
      </w:r>
      <w:r w:rsidR="003F4B54">
        <w:rPr>
          <w:color w:val="0000FF" w:themeColor="accent1"/>
        </w:rPr>
        <w:t xml:space="preserve">  </w:t>
      </w:r>
      <w:r w:rsidR="009F40BF">
        <w:rPr>
          <w:color w:val="0000FF" w:themeColor="accent1"/>
        </w:rPr>
        <w:t>The following is example language.</w:t>
      </w:r>
    </w:p>
    <w:p w14:paraId="1F980824" w14:textId="7D4A3E10" w:rsidR="00B721FA" w:rsidRPr="00B721FA" w:rsidRDefault="00B721FA" w:rsidP="00B721FA">
      <w:pPr>
        <w:rPr>
          <w:color w:val="800080" w:themeColor="accent3"/>
        </w:rPr>
      </w:pPr>
      <w:r w:rsidRPr="00B721FA">
        <w:rPr>
          <w:color w:val="800080" w:themeColor="accent3"/>
        </w:rPr>
        <w:t>Table 3-1 provides a summary of existing (202</w:t>
      </w:r>
      <w:r w:rsidR="00D57526">
        <w:rPr>
          <w:color w:val="800080" w:themeColor="accent3"/>
        </w:rPr>
        <w:t>3</w:t>
      </w:r>
      <w:r w:rsidRPr="00B721FA">
        <w:rPr>
          <w:color w:val="800080" w:themeColor="accent3"/>
        </w:rPr>
        <w:t>) average daily traffic and truck volumes on the analyzed portions of the I-400 corridor and Roadway A.</w:t>
      </w:r>
    </w:p>
    <w:p w14:paraId="72C815FA" w14:textId="4A536371" w:rsidR="00AE0725" w:rsidRPr="00936B73" w:rsidRDefault="00AE0725" w:rsidP="00AE0725">
      <w:pPr>
        <w:pStyle w:val="TableTitle"/>
        <w:rPr>
          <w:color w:val="800080" w:themeColor="accent3"/>
        </w:rPr>
      </w:pPr>
      <w:bookmarkStart w:id="109" w:name="_Toc157429607"/>
      <w:r w:rsidRPr="00936B73">
        <w:rPr>
          <w:color w:val="800080" w:themeColor="accent3"/>
        </w:rPr>
        <w:t xml:space="preserve">Table </w:t>
      </w:r>
      <w:r w:rsidRPr="00936B73">
        <w:rPr>
          <w:color w:val="800080" w:themeColor="accent3"/>
        </w:rPr>
        <w:fldChar w:fldCharType="begin"/>
      </w:r>
      <w:r w:rsidRPr="00936B73">
        <w:rPr>
          <w:color w:val="800080" w:themeColor="accent3"/>
        </w:rPr>
        <w:instrText xml:space="preserve"> STYLEREF 1 \s </w:instrText>
      </w:r>
      <w:r w:rsidRPr="00936B73">
        <w:rPr>
          <w:color w:val="800080" w:themeColor="accent3"/>
        </w:rPr>
        <w:fldChar w:fldCharType="separate"/>
      </w:r>
      <w:r w:rsidR="00B721FA" w:rsidRPr="00936B73">
        <w:rPr>
          <w:noProof/>
          <w:color w:val="800080" w:themeColor="accent3"/>
        </w:rPr>
        <w:t>3</w:t>
      </w:r>
      <w:r w:rsidRPr="00936B73">
        <w:rPr>
          <w:noProof/>
          <w:color w:val="800080" w:themeColor="accent3"/>
        </w:rPr>
        <w:fldChar w:fldCharType="end"/>
      </w:r>
      <w:r w:rsidRPr="00936B73">
        <w:rPr>
          <w:color w:val="800080" w:themeColor="accent3"/>
        </w:rPr>
        <w:noBreakHyphen/>
      </w:r>
      <w:r w:rsidRPr="00936B73">
        <w:rPr>
          <w:color w:val="800080" w:themeColor="accent3"/>
        </w:rPr>
        <w:fldChar w:fldCharType="begin"/>
      </w:r>
      <w:r w:rsidRPr="00936B73">
        <w:rPr>
          <w:color w:val="800080" w:themeColor="accent3"/>
        </w:rPr>
        <w:instrText xml:space="preserve"> SEQ Table \* ARABIC \s 1 </w:instrText>
      </w:r>
      <w:r w:rsidRPr="00936B73">
        <w:rPr>
          <w:color w:val="800080" w:themeColor="accent3"/>
        </w:rPr>
        <w:fldChar w:fldCharType="separate"/>
      </w:r>
      <w:r w:rsidR="00B721FA" w:rsidRPr="00936B73">
        <w:rPr>
          <w:noProof/>
          <w:color w:val="800080" w:themeColor="accent3"/>
        </w:rPr>
        <w:t>1</w:t>
      </w:r>
      <w:r w:rsidRPr="00936B73">
        <w:rPr>
          <w:noProof/>
          <w:color w:val="800080" w:themeColor="accent3"/>
        </w:rPr>
        <w:fldChar w:fldCharType="end"/>
      </w:r>
      <w:r w:rsidRPr="00936B73">
        <w:rPr>
          <w:color w:val="800080" w:themeColor="accent3"/>
        </w:rPr>
        <w:t xml:space="preserve">: </w:t>
      </w:r>
      <w:r w:rsidR="001B4AC8" w:rsidRPr="00936B73">
        <w:rPr>
          <w:color w:val="800080" w:themeColor="accent3"/>
        </w:rPr>
        <w:t>Existing (202</w:t>
      </w:r>
      <w:r w:rsidR="00D57526">
        <w:rPr>
          <w:color w:val="800080" w:themeColor="accent3"/>
        </w:rPr>
        <w:t>3</w:t>
      </w:r>
      <w:r w:rsidR="001B4AC8" w:rsidRPr="00936B73">
        <w:rPr>
          <w:color w:val="800080" w:themeColor="accent3"/>
        </w:rPr>
        <w:t>) Traffic Conditions</w:t>
      </w:r>
      <w:r w:rsidR="001B4AC8" w:rsidRPr="00936B73">
        <w:rPr>
          <w:color w:val="800080" w:themeColor="accent3"/>
        </w:rPr>
        <w:fldChar w:fldCharType="begin"/>
      </w:r>
      <w:r w:rsidR="001B4AC8" w:rsidRPr="00936B73">
        <w:rPr>
          <w:color w:val="800080" w:themeColor="accent3"/>
        </w:rPr>
        <w:instrText xml:space="preserve"> TC </w:instrText>
      </w:r>
      <w:r w:rsidR="003F4B54">
        <w:rPr>
          <w:color w:val="800080" w:themeColor="accent3"/>
        </w:rPr>
        <w:instrText>“</w:instrText>
      </w:r>
      <w:r w:rsidR="001B4AC8" w:rsidRPr="00936B73">
        <w:rPr>
          <w:color w:val="800080" w:themeColor="accent3"/>
        </w:rPr>
        <w:instrText>Table 1-1. Summary of Existing 2019 Traffic Conditions</w:instrText>
      </w:r>
      <w:r w:rsidR="001B4AC8" w:rsidRPr="00936B73">
        <w:rPr>
          <w:color w:val="800080" w:themeColor="accent3"/>
        </w:rPr>
        <w:cr/>
      </w:r>
      <w:r w:rsidR="003F4B54">
        <w:rPr>
          <w:color w:val="800080" w:themeColor="accent3"/>
        </w:rPr>
        <w:instrText>”</w:instrText>
      </w:r>
      <w:r w:rsidR="001B4AC8" w:rsidRPr="00936B73">
        <w:rPr>
          <w:color w:val="800080" w:themeColor="accent3"/>
        </w:rPr>
        <w:instrText xml:space="preserve"> \f T \l </w:instrText>
      </w:r>
      <w:r w:rsidR="003F4B54">
        <w:rPr>
          <w:color w:val="800080" w:themeColor="accent3"/>
        </w:rPr>
        <w:instrText>“</w:instrText>
      </w:r>
      <w:r w:rsidR="001B4AC8" w:rsidRPr="00936B73">
        <w:rPr>
          <w:color w:val="800080" w:themeColor="accent3"/>
        </w:rPr>
        <w:instrText>1</w:instrText>
      </w:r>
      <w:r w:rsidR="003F4B54">
        <w:rPr>
          <w:color w:val="800080" w:themeColor="accent3"/>
        </w:rPr>
        <w:instrText>”</w:instrText>
      </w:r>
      <w:r w:rsidR="001B4AC8" w:rsidRPr="00936B73">
        <w:rPr>
          <w:color w:val="800080" w:themeColor="accent3"/>
        </w:rPr>
        <w:instrText xml:space="preserve"> </w:instrText>
      </w:r>
      <w:r w:rsidR="001B4AC8" w:rsidRPr="00936B73">
        <w:rPr>
          <w:color w:val="800080" w:themeColor="accent3"/>
        </w:rPr>
        <w:fldChar w:fldCharType="end"/>
      </w:r>
      <w:r w:rsidR="001B4AC8" w:rsidRPr="00936B73">
        <w:rPr>
          <w:color w:val="800080" w:themeColor="accent3"/>
        </w:rPr>
        <w:t xml:space="preserve"> in the Project Area</w:t>
      </w:r>
      <w:bookmarkEnd w:id="109"/>
    </w:p>
    <w:tbl>
      <w:tblPr>
        <w:tblStyle w:val="TableGrid"/>
        <w:tblW w:w="0" w:type="auto"/>
        <w:tblLook w:val="0020" w:firstRow="1" w:lastRow="0" w:firstColumn="0" w:lastColumn="0" w:noHBand="0" w:noVBand="0"/>
        <w:tblCaption w:val="2023 Existing Traffic Conditions in the Project Area"/>
        <w:tblDescription w:val="A table summarizing the average daily traffic, truck volume, and percent trucks on the analyzed roadway portions of the I-400 corridor and Roadway A."/>
      </w:tblPr>
      <w:tblGrid>
        <w:gridCol w:w="4495"/>
        <w:gridCol w:w="1530"/>
        <w:gridCol w:w="1620"/>
        <w:gridCol w:w="1705"/>
      </w:tblGrid>
      <w:tr w:rsidR="00936B73" w:rsidRPr="00936B73" w14:paraId="07A53D62" w14:textId="793C3C8A" w:rsidTr="00933136">
        <w:trPr>
          <w:cantSplit/>
        </w:trPr>
        <w:tc>
          <w:tcPr>
            <w:tcW w:w="4495" w:type="dxa"/>
          </w:tcPr>
          <w:p w14:paraId="01001BD9" w14:textId="16A672A3" w:rsidR="0041507C" w:rsidRPr="00936B73" w:rsidRDefault="0041507C" w:rsidP="00E2161A">
            <w:pPr>
              <w:pStyle w:val="TableHeading"/>
              <w:rPr>
                <w:color w:val="800080" w:themeColor="accent3"/>
              </w:rPr>
            </w:pPr>
            <w:r w:rsidRPr="00936B73">
              <w:rPr>
                <w:color w:val="800080" w:themeColor="accent3"/>
              </w:rPr>
              <w:t>Roadway</w:t>
            </w:r>
          </w:p>
        </w:tc>
        <w:tc>
          <w:tcPr>
            <w:tcW w:w="1530" w:type="dxa"/>
          </w:tcPr>
          <w:p w14:paraId="7C390967" w14:textId="4A14EC93" w:rsidR="0041507C" w:rsidRPr="00936B73" w:rsidRDefault="0041507C" w:rsidP="00E2161A">
            <w:pPr>
              <w:pStyle w:val="TableHeading"/>
              <w:rPr>
                <w:color w:val="800080" w:themeColor="accent3"/>
              </w:rPr>
            </w:pPr>
            <w:proofErr w:type="spellStart"/>
            <w:r w:rsidRPr="00936B73">
              <w:rPr>
                <w:color w:val="800080" w:themeColor="accent3"/>
              </w:rPr>
              <w:t>AADT</w:t>
            </w:r>
            <w:proofErr w:type="spellEnd"/>
          </w:p>
        </w:tc>
        <w:tc>
          <w:tcPr>
            <w:tcW w:w="1620" w:type="dxa"/>
          </w:tcPr>
          <w:p w14:paraId="332AAFC1" w14:textId="39DDAC75" w:rsidR="0041507C" w:rsidRPr="00936B73" w:rsidRDefault="0041507C" w:rsidP="00E2161A">
            <w:pPr>
              <w:pStyle w:val="TableHeading"/>
              <w:rPr>
                <w:color w:val="800080" w:themeColor="accent3"/>
              </w:rPr>
            </w:pPr>
            <w:r w:rsidRPr="00936B73">
              <w:rPr>
                <w:color w:val="800080" w:themeColor="accent3"/>
              </w:rPr>
              <w:t>Truck Volume</w:t>
            </w:r>
          </w:p>
        </w:tc>
        <w:tc>
          <w:tcPr>
            <w:tcW w:w="1705" w:type="dxa"/>
          </w:tcPr>
          <w:p w14:paraId="16EB6C7A" w14:textId="36B63905" w:rsidR="0041507C" w:rsidRPr="00936B73" w:rsidRDefault="0041507C" w:rsidP="00E2161A">
            <w:pPr>
              <w:pStyle w:val="TableHeading"/>
              <w:rPr>
                <w:color w:val="800080" w:themeColor="accent3"/>
              </w:rPr>
            </w:pPr>
            <w:r w:rsidRPr="00936B73">
              <w:rPr>
                <w:color w:val="800080" w:themeColor="accent3"/>
              </w:rPr>
              <w:t>Percent Truck</w:t>
            </w:r>
          </w:p>
        </w:tc>
      </w:tr>
      <w:tr w:rsidR="00936B73" w:rsidRPr="00936B73" w14:paraId="5666821C" w14:textId="17A2AD8D" w:rsidTr="00933136">
        <w:trPr>
          <w:cantSplit/>
        </w:trPr>
        <w:tc>
          <w:tcPr>
            <w:tcW w:w="4495" w:type="dxa"/>
          </w:tcPr>
          <w:p w14:paraId="693089E7" w14:textId="2CE357B0" w:rsidR="0041507C" w:rsidRPr="00936B73" w:rsidRDefault="00BA2495" w:rsidP="00E2161A">
            <w:pPr>
              <w:pStyle w:val="TableText"/>
              <w:rPr>
                <w:color w:val="800080" w:themeColor="accent3"/>
              </w:rPr>
            </w:pPr>
            <w:r w:rsidRPr="00936B73">
              <w:rPr>
                <w:color w:val="800080" w:themeColor="accent3"/>
              </w:rPr>
              <w:t>I-400/Roadway A interchange</w:t>
            </w:r>
          </w:p>
        </w:tc>
        <w:tc>
          <w:tcPr>
            <w:tcW w:w="1530" w:type="dxa"/>
          </w:tcPr>
          <w:p w14:paraId="062750B1" w14:textId="51477714" w:rsidR="0041507C" w:rsidRPr="00936B73" w:rsidRDefault="00FA3257" w:rsidP="00E2161A">
            <w:pPr>
              <w:pStyle w:val="TableText"/>
              <w:rPr>
                <w:color w:val="800080" w:themeColor="accent3"/>
              </w:rPr>
            </w:pPr>
            <w:r w:rsidRPr="00936B73">
              <w:rPr>
                <w:color w:val="800080" w:themeColor="accent3"/>
              </w:rPr>
              <w:t>34,577</w:t>
            </w:r>
          </w:p>
        </w:tc>
        <w:tc>
          <w:tcPr>
            <w:tcW w:w="1620" w:type="dxa"/>
          </w:tcPr>
          <w:p w14:paraId="2D4F4DC0" w14:textId="164ED11B" w:rsidR="0041507C" w:rsidRPr="00936B73" w:rsidRDefault="00FA3257" w:rsidP="00E2161A">
            <w:pPr>
              <w:pStyle w:val="TableText"/>
              <w:rPr>
                <w:color w:val="800080" w:themeColor="accent3"/>
              </w:rPr>
            </w:pPr>
            <w:r w:rsidRPr="00936B73">
              <w:rPr>
                <w:color w:val="800080" w:themeColor="accent3"/>
              </w:rPr>
              <w:t>1,730</w:t>
            </w:r>
          </w:p>
        </w:tc>
        <w:tc>
          <w:tcPr>
            <w:tcW w:w="1705" w:type="dxa"/>
          </w:tcPr>
          <w:p w14:paraId="56E8C620" w14:textId="4F7511FF" w:rsidR="0041507C" w:rsidRPr="00936B73" w:rsidRDefault="00015E2B" w:rsidP="00E2161A">
            <w:pPr>
              <w:pStyle w:val="TableText"/>
              <w:rPr>
                <w:color w:val="800080" w:themeColor="accent3"/>
              </w:rPr>
            </w:pPr>
            <w:r w:rsidRPr="00936B73">
              <w:rPr>
                <w:color w:val="800080" w:themeColor="accent3"/>
              </w:rPr>
              <w:t>5%</w:t>
            </w:r>
          </w:p>
        </w:tc>
      </w:tr>
      <w:tr w:rsidR="00936B73" w:rsidRPr="00936B73" w14:paraId="335F4047" w14:textId="12239A34" w:rsidTr="00933136">
        <w:trPr>
          <w:cantSplit/>
        </w:trPr>
        <w:tc>
          <w:tcPr>
            <w:tcW w:w="4495" w:type="dxa"/>
          </w:tcPr>
          <w:p w14:paraId="359A5153" w14:textId="6E4EF86B" w:rsidR="0041507C" w:rsidRPr="00936B73" w:rsidRDefault="00B92B64" w:rsidP="00E2161A">
            <w:pPr>
              <w:pStyle w:val="TableText"/>
              <w:rPr>
                <w:color w:val="800080" w:themeColor="accent3"/>
              </w:rPr>
            </w:pPr>
            <w:r w:rsidRPr="00936B73">
              <w:rPr>
                <w:color w:val="800080" w:themeColor="accent3"/>
              </w:rPr>
              <w:t>Roadway A west of Roadway B</w:t>
            </w:r>
          </w:p>
        </w:tc>
        <w:tc>
          <w:tcPr>
            <w:tcW w:w="1530" w:type="dxa"/>
          </w:tcPr>
          <w:p w14:paraId="7C2EBF3B" w14:textId="6523A771" w:rsidR="0041507C" w:rsidRPr="00936B73" w:rsidRDefault="00FA3257" w:rsidP="00E2161A">
            <w:pPr>
              <w:pStyle w:val="TableText"/>
              <w:rPr>
                <w:color w:val="800080" w:themeColor="accent3"/>
              </w:rPr>
            </w:pPr>
            <w:r w:rsidRPr="00936B73">
              <w:rPr>
                <w:color w:val="800080" w:themeColor="accent3"/>
              </w:rPr>
              <w:t>21,257</w:t>
            </w:r>
          </w:p>
        </w:tc>
        <w:tc>
          <w:tcPr>
            <w:tcW w:w="1620" w:type="dxa"/>
          </w:tcPr>
          <w:p w14:paraId="286B31B9" w14:textId="427CBB3B" w:rsidR="0041507C" w:rsidRPr="00936B73" w:rsidRDefault="00FA3257" w:rsidP="00E2161A">
            <w:pPr>
              <w:pStyle w:val="TableText"/>
              <w:rPr>
                <w:color w:val="800080" w:themeColor="accent3"/>
              </w:rPr>
            </w:pPr>
            <w:r w:rsidRPr="00936B73">
              <w:rPr>
                <w:color w:val="800080" w:themeColor="accent3"/>
              </w:rPr>
              <w:t>1,080</w:t>
            </w:r>
          </w:p>
        </w:tc>
        <w:tc>
          <w:tcPr>
            <w:tcW w:w="1705" w:type="dxa"/>
          </w:tcPr>
          <w:p w14:paraId="7ADF6520" w14:textId="0F808EA2" w:rsidR="0041507C" w:rsidRPr="00936B73" w:rsidRDefault="00015E2B" w:rsidP="00E2161A">
            <w:pPr>
              <w:pStyle w:val="TableText"/>
              <w:rPr>
                <w:color w:val="800080" w:themeColor="accent3"/>
              </w:rPr>
            </w:pPr>
            <w:r w:rsidRPr="00936B73">
              <w:rPr>
                <w:color w:val="800080" w:themeColor="accent3"/>
              </w:rPr>
              <w:t>5%</w:t>
            </w:r>
          </w:p>
        </w:tc>
      </w:tr>
      <w:tr w:rsidR="00936B73" w:rsidRPr="00936B73" w14:paraId="1DF1D80B" w14:textId="6316DF05" w:rsidTr="00933136">
        <w:trPr>
          <w:cantSplit/>
        </w:trPr>
        <w:tc>
          <w:tcPr>
            <w:tcW w:w="4495" w:type="dxa"/>
          </w:tcPr>
          <w:p w14:paraId="6831B4DD" w14:textId="4C6FF5FD" w:rsidR="0041507C" w:rsidRPr="00936B73" w:rsidRDefault="004E30BD" w:rsidP="00E2161A">
            <w:pPr>
              <w:pStyle w:val="TableText"/>
              <w:rPr>
                <w:color w:val="800080" w:themeColor="accent3"/>
              </w:rPr>
            </w:pPr>
            <w:r w:rsidRPr="00936B73">
              <w:rPr>
                <w:color w:val="800080" w:themeColor="accent3"/>
              </w:rPr>
              <w:t>Roadway A/Roadway C west of I-400</w:t>
            </w:r>
          </w:p>
        </w:tc>
        <w:tc>
          <w:tcPr>
            <w:tcW w:w="1530" w:type="dxa"/>
          </w:tcPr>
          <w:p w14:paraId="55F470A7" w14:textId="54B993A5" w:rsidR="0041507C" w:rsidRPr="00936B73" w:rsidRDefault="00FA3257" w:rsidP="00E2161A">
            <w:pPr>
              <w:pStyle w:val="TableText"/>
              <w:rPr>
                <w:color w:val="800080" w:themeColor="accent3"/>
              </w:rPr>
            </w:pPr>
            <w:r w:rsidRPr="00936B73">
              <w:rPr>
                <w:color w:val="800080" w:themeColor="accent3"/>
              </w:rPr>
              <w:t>7,642</w:t>
            </w:r>
          </w:p>
        </w:tc>
        <w:tc>
          <w:tcPr>
            <w:tcW w:w="1620" w:type="dxa"/>
          </w:tcPr>
          <w:p w14:paraId="1D92A5DD" w14:textId="14DD8069" w:rsidR="0041507C" w:rsidRPr="00936B73" w:rsidRDefault="00FA3257" w:rsidP="00E2161A">
            <w:pPr>
              <w:pStyle w:val="TableText"/>
              <w:rPr>
                <w:color w:val="800080" w:themeColor="accent3"/>
              </w:rPr>
            </w:pPr>
            <w:r w:rsidRPr="00936B73">
              <w:rPr>
                <w:color w:val="800080" w:themeColor="accent3"/>
              </w:rPr>
              <w:t>380</w:t>
            </w:r>
          </w:p>
        </w:tc>
        <w:tc>
          <w:tcPr>
            <w:tcW w:w="1705" w:type="dxa"/>
          </w:tcPr>
          <w:p w14:paraId="7F76AC16" w14:textId="7F2F8CBB" w:rsidR="0041507C" w:rsidRPr="00936B73" w:rsidRDefault="00015E2B" w:rsidP="00E2161A">
            <w:pPr>
              <w:pStyle w:val="TableText"/>
              <w:rPr>
                <w:color w:val="800080" w:themeColor="accent3"/>
              </w:rPr>
            </w:pPr>
            <w:r w:rsidRPr="00936B73">
              <w:rPr>
                <w:color w:val="800080" w:themeColor="accent3"/>
              </w:rPr>
              <w:t>5%</w:t>
            </w:r>
          </w:p>
        </w:tc>
      </w:tr>
      <w:tr w:rsidR="00936B73" w:rsidRPr="00936B73" w14:paraId="345FB1B1" w14:textId="23C214A7" w:rsidTr="00933136">
        <w:trPr>
          <w:cantSplit/>
        </w:trPr>
        <w:tc>
          <w:tcPr>
            <w:tcW w:w="4495" w:type="dxa"/>
          </w:tcPr>
          <w:p w14:paraId="61F9DFC8" w14:textId="390ACC5D" w:rsidR="0041507C" w:rsidRPr="00936B73" w:rsidRDefault="00B13C06" w:rsidP="00E2161A">
            <w:pPr>
              <w:pStyle w:val="TableText"/>
              <w:rPr>
                <w:color w:val="800080" w:themeColor="accent3"/>
              </w:rPr>
            </w:pPr>
            <w:r w:rsidRPr="00936B73">
              <w:rPr>
                <w:color w:val="800080" w:themeColor="accent3"/>
              </w:rPr>
              <w:t>I-400 north of Roadway A</w:t>
            </w:r>
          </w:p>
        </w:tc>
        <w:tc>
          <w:tcPr>
            <w:tcW w:w="1530" w:type="dxa"/>
          </w:tcPr>
          <w:p w14:paraId="4A0AE7ED" w14:textId="4F6940D3" w:rsidR="0041507C" w:rsidRPr="00936B73" w:rsidRDefault="00FA3257" w:rsidP="00E2161A">
            <w:pPr>
              <w:pStyle w:val="TableText"/>
              <w:rPr>
                <w:color w:val="800080" w:themeColor="accent3"/>
              </w:rPr>
            </w:pPr>
            <w:r w:rsidRPr="00936B73">
              <w:rPr>
                <w:color w:val="800080" w:themeColor="accent3"/>
              </w:rPr>
              <w:t>212,222</w:t>
            </w:r>
          </w:p>
        </w:tc>
        <w:tc>
          <w:tcPr>
            <w:tcW w:w="1620" w:type="dxa"/>
          </w:tcPr>
          <w:p w14:paraId="1F705AFF" w14:textId="71633D0D" w:rsidR="0041507C" w:rsidRPr="00936B73" w:rsidRDefault="00FA3257" w:rsidP="00E2161A">
            <w:pPr>
              <w:pStyle w:val="TableText"/>
              <w:rPr>
                <w:color w:val="800080" w:themeColor="accent3"/>
              </w:rPr>
            </w:pPr>
            <w:r w:rsidRPr="00936B73">
              <w:rPr>
                <w:color w:val="800080" w:themeColor="accent3"/>
              </w:rPr>
              <w:t>14,860</w:t>
            </w:r>
          </w:p>
        </w:tc>
        <w:tc>
          <w:tcPr>
            <w:tcW w:w="1705" w:type="dxa"/>
          </w:tcPr>
          <w:p w14:paraId="679F19DD" w14:textId="79F2F171" w:rsidR="0041507C" w:rsidRPr="00936B73" w:rsidRDefault="00015E2B" w:rsidP="00E2161A">
            <w:pPr>
              <w:pStyle w:val="TableText"/>
              <w:rPr>
                <w:color w:val="800080" w:themeColor="accent3"/>
              </w:rPr>
            </w:pPr>
            <w:r w:rsidRPr="00936B73">
              <w:rPr>
                <w:color w:val="800080" w:themeColor="accent3"/>
              </w:rPr>
              <w:t>7%</w:t>
            </w:r>
          </w:p>
        </w:tc>
      </w:tr>
      <w:tr w:rsidR="00936B73" w:rsidRPr="00936B73" w14:paraId="1944B7A6" w14:textId="0BA0055A" w:rsidTr="00933136">
        <w:trPr>
          <w:cantSplit/>
        </w:trPr>
        <w:tc>
          <w:tcPr>
            <w:tcW w:w="4495" w:type="dxa"/>
          </w:tcPr>
          <w:p w14:paraId="5630B0F6" w14:textId="76DF9637" w:rsidR="0041507C" w:rsidRPr="00936B73" w:rsidRDefault="00933136" w:rsidP="00E2161A">
            <w:pPr>
              <w:pStyle w:val="TableText"/>
              <w:rPr>
                <w:color w:val="800080" w:themeColor="accent3"/>
              </w:rPr>
            </w:pPr>
            <w:r w:rsidRPr="00936B73">
              <w:rPr>
                <w:color w:val="800080" w:themeColor="accent3"/>
              </w:rPr>
              <w:t>I-400 south of Roadway A</w:t>
            </w:r>
          </w:p>
        </w:tc>
        <w:tc>
          <w:tcPr>
            <w:tcW w:w="1530" w:type="dxa"/>
          </w:tcPr>
          <w:p w14:paraId="2501A928" w14:textId="04504430" w:rsidR="0041507C" w:rsidRPr="00936B73" w:rsidRDefault="00FA3257" w:rsidP="00E2161A">
            <w:pPr>
              <w:pStyle w:val="TableText"/>
              <w:rPr>
                <w:color w:val="800080" w:themeColor="accent3"/>
              </w:rPr>
            </w:pPr>
            <w:r w:rsidRPr="00936B73">
              <w:rPr>
                <w:color w:val="800080" w:themeColor="accent3"/>
              </w:rPr>
              <w:t>203,387</w:t>
            </w:r>
          </w:p>
        </w:tc>
        <w:tc>
          <w:tcPr>
            <w:tcW w:w="1620" w:type="dxa"/>
          </w:tcPr>
          <w:p w14:paraId="4BC32A90" w14:textId="7117A2AF" w:rsidR="0041507C" w:rsidRPr="00936B73" w:rsidRDefault="00FA3257" w:rsidP="00E2161A">
            <w:pPr>
              <w:pStyle w:val="TableText"/>
              <w:rPr>
                <w:color w:val="800080" w:themeColor="accent3"/>
              </w:rPr>
            </w:pPr>
            <w:r w:rsidRPr="00936B73">
              <w:rPr>
                <w:color w:val="800080" w:themeColor="accent3"/>
              </w:rPr>
              <w:t>14,240</w:t>
            </w:r>
          </w:p>
        </w:tc>
        <w:tc>
          <w:tcPr>
            <w:tcW w:w="1705" w:type="dxa"/>
          </w:tcPr>
          <w:p w14:paraId="14F9F470" w14:textId="50F17D39" w:rsidR="0041507C" w:rsidRPr="00936B73" w:rsidRDefault="00015E2B" w:rsidP="00E2161A">
            <w:pPr>
              <w:pStyle w:val="TableText"/>
              <w:rPr>
                <w:color w:val="800080" w:themeColor="accent3"/>
              </w:rPr>
            </w:pPr>
            <w:r w:rsidRPr="00936B73">
              <w:rPr>
                <w:color w:val="800080" w:themeColor="accent3"/>
              </w:rPr>
              <w:t>7%</w:t>
            </w:r>
          </w:p>
        </w:tc>
      </w:tr>
    </w:tbl>
    <w:p w14:paraId="41774234" w14:textId="77777777" w:rsidR="0078227D" w:rsidRDefault="00F01CD4" w:rsidP="00F01CD4">
      <w:pPr>
        <w:pStyle w:val="TableText"/>
        <w:rPr>
          <w:color w:val="800080" w:themeColor="accent3"/>
        </w:rPr>
      </w:pPr>
      <w:r w:rsidRPr="00936B73">
        <w:rPr>
          <w:color w:val="800080" w:themeColor="accent3"/>
        </w:rPr>
        <w:t>Source: Traffic Consultants 2023</w:t>
      </w:r>
      <w:r w:rsidR="003F4B54">
        <w:rPr>
          <w:color w:val="800080" w:themeColor="accent3"/>
        </w:rPr>
        <w:t xml:space="preserve"> </w:t>
      </w:r>
    </w:p>
    <w:p w14:paraId="1AF637D1" w14:textId="4CC114DE" w:rsidR="00AE0725" w:rsidRPr="00936B73" w:rsidRDefault="0078227D" w:rsidP="00F01CD4">
      <w:pPr>
        <w:pStyle w:val="TableText"/>
        <w:rPr>
          <w:color w:val="800080" w:themeColor="accent3"/>
        </w:rPr>
      </w:pPr>
      <w:proofErr w:type="spellStart"/>
      <w:r>
        <w:rPr>
          <w:color w:val="800080" w:themeColor="accent3"/>
        </w:rPr>
        <w:t>AADT</w:t>
      </w:r>
      <w:proofErr w:type="spellEnd"/>
      <w:r>
        <w:rPr>
          <w:color w:val="800080" w:themeColor="accent3"/>
        </w:rPr>
        <w:t xml:space="preserve"> = annual average daily traffic </w:t>
      </w:r>
      <w:r w:rsidR="003F4B54" w:rsidRPr="00752C53">
        <w:rPr>
          <w:b/>
          <w:bCs/>
          <w:color w:val="0000FF" w:themeColor="accent1"/>
        </w:rPr>
        <w:t>[End example]</w:t>
      </w:r>
    </w:p>
    <w:p w14:paraId="65733629" w14:textId="77777777" w:rsidR="009F40BF" w:rsidRDefault="009F40BF" w:rsidP="009F40BF">
      <w:pPr>
        <w:pStyle w:val="IntroGuidanceHeading1"/>
      </w:pPr>
      <w:r>
        <w:lastRenderedPageBreak/>
        <w:t>GUIDANCE</w:t>
      </w:r>
    </w:p>
    <w:p w14:paraId="46F53870" w14:textId="58FA2FAC" w:rsidR="009F40BF" w:rsidRDefault="009F40BF" w:rsidP="009F40BF">
      <w:pPr>
        <w:rPr>
          <w:color w:val="0000FF" w:themeColor="accent1"/>
        </w:rPr>
      </w:pPr>
      <w:r w:rsidRPr="001006CF">
        <w:rPr>
          <w:color w:val="0000FF" w:themeColor="accent1"/>
        </w:rPr>
        <w:t xml:space="preserve">Document the mix of vehicle fuel types currently using the facilities in the project area.  If fleet fuel mix data for the affected transportation facilities are not available, obtain data from </w:t>
      </w:r>
      <w:proofErr w:type="spellStart"/>
      <w:r w:rsidRPr="001006CF">
        <w:rPr>
          <w:color w:val="0000FF" w:themeColor="accent1"/>
        </w:rPr>
        <w:t>CARB’s</w:t>
      </w:r>
      <w:proofErr w:type="spellEnd"/>
      <w:r w:rsidRPr="001006CF">
        <w:rPr>
          <w:color w:val="0000FF" w:themeColor="accent1"/>
        </w:rPr>
        <w:t xml:space="preserve"> </w:t>
      </w:r>
      <w:r w:rsidRPr="00C45818">
        <w:rPr>
          <w:color w:val="0000FF" w:themeColor="accent1"/>
        </w:rPr>
        <w:t>E</w:t>
      </w:r>
      <w:r w:rsidR="003F4B54" w:rsidRPr="00C45818">
        <w:rPr>
          <w:color w:val="0000FF" w:themeColor="accent1"/>
        </w:rPr>
        <w:t>m</w:t>
      </w:r>
      <w:r w:rsidRPr="00C45818">
        <w:rPr>
          <w:color w:val="0000FF" w:themeColor="accent1"/>
        </w:rPr>
        <w:t xml:space="preserve">ission </w:t>
      </w:r>
      <w:proofErr w:type="spellStart"/>
      <w:r w:rsidRPr="00C45818">
        <w:rPr>
          <w:color w:val="0000FF" w:themeColor="accent1"/>
        </w:rPr>
        <w:t>FACtors</w:t>
      </w:r>
      <w:proofErr w:type="spellEnd"/>
      <w:r>
        <w:rPr>
          <w:color w:val="0000FF" w:themeColor="accent1"/>
        </w:rPr>
        <w:t xml:space="preserve"> (</w:t>
      </w:r>
      <w:r w:rsidRPr="001006CF">
        <w:rPr>
          <w:color w:val="0000FF" w:themeColor="accent1"/>
        </w:rPr>
        <w:t>EMFAC</w:t>
      </w:r>
      <w:r>
        <w:rPr>
          <w:color w:val="0000FF" w:themeColor="accent1"/>
        </w:rPr>
        <w:t>)</w:t>
      </w:r>
      <w:r w:rsidRPr="001006CF">
        <w:rPr>
          <w:color w:val="0000FF" w:themeColor="accent1"/>
        </w:rPr>
        <w:t xml:space="preserve"> </w:t>
      </w:r>
      <w:hyperlink r:id="rId33" w:history="1">
        <w:r w:rsidRPr="001006CF">
          <w:rPr>
            <w:rStyle w:val="Hyperlink"/>
          </w:rPr>
          <w:t>Fleet Datab</w:t>
        </w:r>
        <w:r w:rsidRPr="001006CF">
          <w:rPr>
            <w:rStyle w:val="Hyperlink"/>
          </w:rPr>
          <w:t>a</w:t>
        </w:r>
        <w:r w:rsidRPr="001006CF">
          <w:rPr>
            <w:rStyle w:val="Hyperlink"/>
          </w:rPr>
          <w:t>se</w:t>
        </w:r>
      </w:hyperlink>
      <w:r w:rsidRPr="001006CF">
        <w:rPr>
          <w:color w:val="0000FF" w:themeColor="accent1"/>
        </w:rPr>
        <w:t xml:space="preserve"> for the county(</w:t>
      </w:r>
      <w:proofErr w:type="spellStart"/>
      <w:r w:rsidRPr="001006CF">
        <w:rPr>
          <w:color w:val="0000FF" w:themeColor="accent1"/>
        </w:rPr>
        <w:t>ies</w:t>
      </w:r>
      <w:proofErr w:type="spellEnd"/>
      <w:r w:rsidRPr="001006CF">
        <w:rPr>
          <w:color w:val="0000FF" w:themeColor="accent1"/>
        </w:rPr>
        <w:t xml:space="preserve">) in which the project is located. </w:t>
      </w:r>
      <w:r>
        <w:rPr>
          <w:color w:val="0000FF" w:themeColor="accent1"/>
        </w:rPr>
        <w:t xml:space="preserve"> </w:t>
      </w:r>
      <w:r w:rsidRPr="001006CF">
        <w:rPr>
          <w:color w:val="0000FF" w:themeColor="accent1"/>
        </w:rPr>
        <w:t>Select the project county(</w:t>
      </w:r>
      <w:proofErr w:type="spellStart"/>
      <w:r w:rsidRPr="001006CF">
        <w:rPr>
          <w:color w:val="0000FF" w:themeColor="accent1"/>
        </w:rPr>
        <w:t>ies</w:t>
      </w:r>
      <w:proofErr w:type="spellEnd"/>
      <w:r w:rsidRPr="001006CF">
        <w:rPr>
          <w:color w:val="0000FF" w:themeColor="accent1"/>
        </w:rPr>
        <w:t>) and existing calendar year.  Select “Aggregate” for all inputs except “Fuel Type.”</w:t>
      </w:r>
      <w:r>
        <w:rPr>
          <w:color w:val="0000FF" w:themeColor="accent1"/>
        </w:rPr>
        <w:t xml:space="preserve"> </w:t>
      </w:r>
      <w:r w:rsidRPr="001006CF">
        <w:rPr>
          <w:color w:val="0000FF" w:themeColor="accent1"/>
        </w:rPr>
        <w:t xml:space="preserve"> </w:t>
      </w:r>
      <w:r w:rsidR="003F4B54">
        <w:rPr>
          <w:color w:val="0000FF" w:themeColor="accent1"/>
        </w:rPr>
        <w:t>A t</w:t>
      </w:r>
      <w:r w:rsidRPr="001006CF">
        <w:rPr>
          <w:color w:val="0000FF" w:themeColor="accent1"/>
        </w:rPr>
        <w:t>able may be useful to convey information</w:t>
      </w:r>
      <w:r w:rsidRPr="006375A4">
        <w:rPr>
          <w:color w:val="0000FF" w:themeColor="accent1"/>
        </w:rPr>
        <w:t>.</w:t>
      </w:r>
      <w:r>
        <w:rPr>
          <w:color w:val="0000FF" w:themeColor="accent1"/>
        </w:rPr>
        <w:t xml:space="preserve">  The following is example language.</w:t>
      </w:r>
    </w:p>
    <w:p w14:paraId="14D33A19" w14:textId="1E56A751" w:rsidR="002166FC" w:rsidRPr="002166FC" w:rsidRDefault="002166FC" w:rsidP="002166FC">
      <w:pPr>
        <w:rPr>
          <w:color w:val="800080" w:themeColor="accent3"/>
        </w:rPr>
      </w:pPr>
      <w:r w:rsidRPr="002166FC">
        <w:rPr>
          <w:color w:val="800080" w:themeColor="accent3"/>
        </w:rPr>
        <w:t xml:space="preserve">I-400 and the local roadways affected by the project are in Riverside County.  Information on the </w:t>
      </w:r>
      <w:r w:rsidR="003F4B54" w:rsidRPr="002166FC">
        <w:rPr>
          <w:color w:val="800080" w:themeColor="accent3"/>
        </w:rPr>
        <w:t xml:space="preserve">fleet fuel mix </w:t>
      </w:r>
      <w:r w:rsidRPr="002166FC">
        <w:rPr>
          <w:color w:val="800080" w:themeColor="accent3"/>
        </w:rPr>
        <w:t>using the project transportation facilities is not available</w:t>
      </w:r>
      <w:r w:rsidR="00851223" w:rsidRPr="002166FC">
        <w:rPr>
          <w:color w:val="800080" w:themeColor="accent3"/>
        </w:rPr>
        <w:t xml:space="preserve">.  </w:t>
      </w:r>
      <w:r w:rsidRPr="002166FC">
        <w:rPr>
          <w:color w:val="800080" w:themeColor="accent3"/>
        </w:rPr>
        <w:t>However, I-400 is part of the State Highway System and serves regional traffic demand</w:t>
      </w:r>
      <w:r w:rsidR="00851223" w:rsidRPr="002166FC">
        <w:rPr>
          <w:color w:val="800080" w:themeColor="accent3"/>
        </w:rPr>
        <w:t xml:space="preserve">.  </w:t>
      </w:r>
      <w:r w:rsidRPr="002166FC">
        <w:rPr>
          <w:color w:val="800080" w:themeColor="accent3"/>
        </w:rPr>
        <w:t>The fleet mix of Riverside County is therefore likely representative of the vehicles that travel on I-400 and local roadways affected by the project</w:t>
      </w:r>
      <w:r w:rsidR="00F94684" w:rsidRPr="002166FC">
        <w:rPr>
          <w:color w:val="800080" w:themeColor="accent3"/>
        </w:rPr>
        <w:t xml:space="preserve">.  </w:t>
      </w:r>
      <w:r w:rsidRPr="002166FC">
        <w:rPr>
          <w:color w:val="800080" w:themeColor="accent3"/>
        </w:rPr>
        <w:t xml:space="preserve">Table 3-2 summarizes the </w:t>
      </w:r>
      <w:r w:rsidR="00BD17BF" w:rsidRPr="002166FC">
        <w:rPr>
          <w:color w:val="800080" w:themeColor="accent3"/>
        </w:rPr>
        <w:t>percentage</w:t>
      </w:r>
      <w:r w:rsidRPr="002166FC">
        <w:rPr>
          <w:color w:val="800080" w:themeColor="accent3"/>
        </w:rPr>
        <w:t xml:space="preserve"> of vehicles by fuel type in Riverside County under existing (202</w:t>
      </w:r>
      <w:r w:rsidR="00D57526">
        <w:rPr>
          <w:color w:val="800080" w:themeColor="accent3"/>
        </w:rPr>
        <w:t>3</w:t>
      </w:r>
      <w:r w:rsidRPr="002166FC">
        <w:rPr>
          <w:color w:val="800080" w:themeColor="accent3"/>
        </w:rPr>
        <w:t xml:space="preserve">) conditions. </w:t>
      </w:r>
    </w:p>
    <w:p w14:paraId="6B7FEEF2" w14:textId="1DB28710" w:rsidR="002166FC" w:rsidRPr="00936B73" w:rsidRDefault="004F24C2" w:rsidP="002166FC">
      <w:pPr>
        <w:pStyle w:val="TableTitle"/>
        <w:rPr>
          <w:color w:val="800080" w:themeColor="accent3"/>
        </w:rPr>
      </w:pPr>
      <w:bookmarkStart w:id="110" w:name="_Toc157429608"/>
      <w:r w:rsidRPr="00936B73">
        <w:rPr>
          <w:color w:val="800080" w:themeColor="accent3"/>
        </w:rPr>
        <w:t xml:space="preserve">Table </w:t>
      </w:r>
      <w:r w:rsidRPr="00936B73">
        <w:rPr>
          <w:color w:val="800080" w:themeColor="accent3"/>
        </w:rPr>
        <w:fldChar w:fldCharType="begin"/>
      </w:r>
      <w:r w:rsidRPr="00936B73">
        <w:rPr>
          <w:color w:val="800080" w:themeColor="accent3"/>
        </w:rPr>
        <w:instrText xml:space="preserve"> STYLEREF 1 \s </w:instrText>
      </w:r>
      <w:r w:rsidRPr="00936B73">
        <w:rPr>
          <w:color w:val="800080" w:themeColor="accent3"/>
        </w:rPr>
        <w:fldChar w:fldCharType="separate"/>
      </w:r>
      <w:r>
        <w:rPr>
          <w:noProof/>
          <w:color w:val="800080" w:themeColor="accent3"/>
        </w:rPr>
        <w:t>3</w:t>
      </w:r>
      <w:r w:rsidRPr="00936B73">
        <w:rPr>
          <w:noProof/>
          <w:color w:val="800080" w:themeColor="accent3"/>
        </w:rPr>
        <w:fldChar w:fldCharType="end"/>
      </w:r>
      <w:r w:rsidRPr="00936B73">
        <w:rPr>
          <w:color w:val="800080" w:themeColor="accent3"/>
        </w:rPr>
        <w:noBreakHyphen/>
      </w:r>
      <w:r w:rsidRPr="00936B73">
        <w:rPr>
          <w:color w:val="800080" w:themeColor="accent3"/>
        </w:rPr>
        <w:fldChar w:fldCharType="begin"/>
      </w:r>
      <w:r w:rsidRPr="00936B73">
        <w:rPr>
          <w:color w:val="800080" w:themeColor="accent3"/>
        </w:rPr>
        <w:instrText xml:space="preserve"> SEQ Table \* ARABIC \s 1 </w:instrText>
      </w:r>
      <w:r w:rsidRPr="00936B73">
        <w:rPr>
          <w:color w:val="800080" w:themeColor="accent3"/>
        </w:rPr>
        <w:fldChar w:fldCharType="separate"/>
      </w:r>
      <w:r>
        <w:rPr>
          <w:noProof/>
          <w:color w:val="800080" w:themeColor="accent3"/>
        </w:rPr>
        <w:t>2</w:t>
      </w:r>
      <w:r w:rsidRPr="00936B73">
        <w:rPr>
          <w:noProof/>
          <w:color w:val="800080" w:themeColor="accent3"/>
        </w:rPr>
        <w:fldChar w:fldCharType="end"/>
      </w:r>
      <w:r w:rsidRPr="00936B73">
        <w:rPr>
          <w:color w:val="800080" w:themeColor="accent3"/>
        </w:rPr>
        <w:t xml:space="preserve">: </w:t>
      </w:r>
      <w:r w:rsidR="00936B73" w:rsidRPr="00936B73">
        <w:rPr>
          <w:color w:val="800080" w:themeColor="accent3"/>
        </w:rPr>
        <w:t>Existing (202</w:t>
      </w:r>
      <w:r w:rsidR="00D57526">
        <w:rPr>
          <w:color w:val="800080" w:themeColor="accent3"/>
        </w:rPr>
        <w:t>3</w:t>
      </w:r>
      <w:r w:rsidR="00936B73" w:rsidRPr="00936B73">
        <w:rPr>
          <w:color w:val="800080" w:themeColor="accent3"/>
        </w:rPr>
        <w:t>) Percent of Vehicles by Fuel Type in Riverside County</w:t>
      </w:r>
      <w:bookmarkEnd w:id="110"/>
    </w:p>
    <w:tbl>
      <w:tblPr>
        <w:tblStyle w:val="TableGrid"/>
        <w:tblW w:w="0" w:type="auto"/>
        <w:tblLook w:val="0020" w:firstRow="1" w:lastRow="0" w:firstColumn="0" w:lastColumn="0" w:noHBand="0" w:noVBand="0"/>
        <w:tblCaption w:val="2023 Existing Percent of Vehicles by Fuel Type in Riverside County"/>
        <w:tblDescription w:val="A table showing the percent of vehicle popluation by fuel type for Riverside County. "/>
      </w:tblPr>
      <w:tblGrid>
        <w:gridCol w:w="4495"/>
        <w:gridCol w:w="4410"/>
      </w:tblGrid>
      <w:tr w:rsidR="00936B73" w:rsidRPr="00936B73" w14:paraId="569AE04A" w14:textId="77777777" w:rsidTr="00936B73">
        <w:trPr>
          <w:cantSplit/>
        </w:trPr>
        <w:tc>
          <w:tcPr>
            <w:tcW w:w="4495" w:type="dxa"/>
          </w:tcPr>
          <w:p w14:paraId="25FEA49D" w14:textId="203257EB" w:rsidR="00936B73" w:rsidRPr="00936B73" w:rsidRDefault="00936B73" w:rsidP="00E2161A">
            <w:pPr>
              <w:pStyle w:val="TableHeading"/>
              <w:rPr>
                <w:color w:val="800080" w:themeColor="accent3"/>
              </w:rPr>
            </w:pPr>
            <w:r w:rsidRPr="00936B73">
              <w:rPr>
                <w:color w:val="800080" w:themeColor="accent3"/>
              </w:rPr>
              <w:t>Fuel Type</w:t>
            </w:r>
          </w:p>
        </w:tc>
        <w:tc>
          <w:tcPr>
            <w:tcW w:w="4410" w:type="dxa"/>
          </w:tcPr>
          <w:p w14:paraId="34FDE7B0" w14:textId="00FF31CD" w:rsidR="00936B73" w:rsidRPr="00936B73" w:rsidRDefault="00936B73" w:rsidP="00E2161A">
            <w:pPr>
              <w:pStyle w:val="TableHeading"/>
              <w:rPr>
                <w:color w:val="800080" w:themeColor="accent3"/>
              </w:rPr>
            </w:pPr>
            <w:r w:rsidRPr="00936B73">
              <w:rPr>
                <w:color w:val="800080" w:themeColor="accent3"/>
              </w:rPr>
              <w:t xml:space="preserve">Percent of Vehicle Population </w:t>
            </w:r>
          </w:p>
        </w:tc>
      </w:tr>
      <w:tr w:rsidR="00936B73" w:rsidRPr="00936B73" w14:paraId="0A63A8C1" w14:textId="77777777" w:rsidTr="00936B73">
        <w:trPr>
          <w:cantSplit/>
        </w:trPr>
        <w:tc>
          <w:tcPr>
            <w:tcW w:w="4495" w:type="dxa"/>
          </w:tcPr>
          <w:p w14:paraId="0E9B48A2" w14:textId="33B49CD5" w:rsidR="00936B73" w:rsidRPr="00936B73" w:rsidRDefault="00936B73" w:rsidP="00E2161A">
            <w:pPr>
              <w:pStyle w:val="TableText"/>
              <w:rPr>
                <w:color w:val="800080" w:themeColor="accent3"/>
              </w:rPr>
            </w:pPr>
            <w:r w:rsidRPr="00936B73">
              <w:rPr>
                <w:color w:val="800080" w:themeColor="accent3"/>
              </w:rPr>
              <w:t>Gasoline</w:t>
            </w:r>
          </w:p>
        </w:tc>
        <w:tc>
          <w:tcPr>
            <w:tcW w:w="4410" w:type="dxa"/>
          </w:tcPr>
          <w:p w14:paraId="763E28D8" w14:textId="19B79FFF" w:rsidR="00936B73" w:rsidRPr="00936B73" w:rsidRDefault="00936B73" w:rsidP="00E2161A">
            <w:pPr>
              <w:pStyle w:val="TableText"/>
              <w:rPr>
                <w:color w:val="800080" w:themeColor="accent3"/>
              </w:rPr>
            </w:pPr>
            <w:r w:rsidRPr="00936B73">
              <w:rPr>
                <w:color w:val="800080" w:themeColor="accent3"/>
              </w:rPr>
              <w:t>95%</w:t>
            </w:r>
          </w:p>
        </w:tc>
      </w:tr>
      <w:tr w:rsidR="00936B73" w:rsidRPr="00936B73" w14:paraId="15F013D2" w14:textId="77777777" w:rsidTr="00936B73">
        <w:trPr>
          <w:cantSplit/>
        </w:trPr>
        <w:tc>
          <w:tcPr>
            <w:tcW w:w="4495" w:type="dxa"/>
          </w:tcPr>
          <w:p w14:paraId="2C4DBC45" w14:textId="5597C31B" w:rsidR="00936B73" w:rsidRPr="00936B73" w:rsidRDefault="00936B73" w:rsidP="00E2161A">
            <w:pPr>
              <w:pStyle w:val="TableText"/>
              <w:rPr>
                <w:color w:val="800080" w:themeColor="accent3"/>
              </w:rPr>
            </w:pPr>
            <w:r w:rsidRPr="00936B73">
              <w:rPr>
                <w:color w:val="800080" w:themeColor="accent3"/>
              </w:rPr>
              <w:t>Diesel</w:t>
            </w:r>
          </w:p>
        </w:tc>
        <w:tc>
          <w:tcPr>
            <w:tcW w:w="4410" w:type="dxa"/>
          </w:tcPr>
          <w:p w14:paraId="3D3C79D5" w14:textId="71253D50" w:rsidR="00936B73" w:rsidRPr="00936B73" w:rsidRDefault="00936B73" w:rsidP="00E2161A">
            <w:pPr>
              <w:pStyle w:val="TableText"/>
              <w:rPr>
                <w:color w:val="800080" w:themeColor="accent3"/>
              </w:rPr>
            </w:pPr>
            <w:r w:rsidRPr="00936B73">
              <w:rPr>
                <w:color w:val="800080" w:themeColor="accent3"/>
              </w:rPr>
              <w:t>4%</w:t>
            </w:r>
          </w:p>
        </w:tc>
      </w:tr>
      <w:tr w:rsidR="00936B73" w:rsidRPr="00936B73" w14:paraId="1840449F" w14:textId="77777777" w:rsidTr="00936B73">
        <w:trPr>
          <w:cantSplit/>
        </w:trPr>
        <w:tc>
          <w:tcPr>
            <w:tcW w:w="4495" w:type="dxa"/>
          </w:tcPr>
          <w:p w14:paraId="363521FA" w14:textId="12D08CD7" w:rsidR="00936B73" w:rsidRPr="00936B73" w:rsidRDefault="00936B73" w:rsidP="00E2161A">
            <w:pPr>
              <w:pStyle w:val="TableText"/>
              <w:rPr>
                <w:color w:val="800080" w:themeColor="accent3"/>
              </w:rPr>
            </w:pPr>
            <w:r w:rsidRPr="00936B73">
              <w:rPr>
                <w:color w:val="800080" w:themeColor="accent3"/>
              </w:rPr>
              <w:t>Electric</w:t>
            </w:r>
          </w:p>
        </w:tc>
        <w:tc>
          <w:tcPr>
            <w:tcW w:w="4410" w:type="dxa"/>
          </w:tcPr>
          <w:p w14:paraId="2F6540A0" w14:textId="7D3310B9" w:rsidR="00936B73" w:rsidRPr="00936B73" w:rsidRDefault="00936B73" w:rsidP="00E2161A">
            <w:pPr>
              <w:pStyle w:val="TableText"/>
              <w:rPr>
                <w:color w:val="800080" w:themeColor="accent3"/>
              </w:rPr>
            </w:pPr>
            <w:r w:rsidRPr="00936B73">
              <w:rPr>
                <w:color w:val="800080" w:themeColor="accent3"/>
              </w:rPr>
              <w:t>1%</w:t>
            </w:r>
          </w:p>
        </w:tc>
      </w:tr>
      <w:tr w:rsidR="00936B73" w:rsidRPr="00936B73" w14:paraId="1DE4030A" w14:textId="77777777" w:rsidTr="00936B73">
        <w:trPr>
          <w:cantSplit/>
        </w:trPr>
        <w:tc>
          <w:tcPr>
            <w:tcW w:w="4495" w:type="dxa"/>
          </w:tcPr>
          <w:p w14:paraId="74955276" w14:textId="45FDEEC3" w:rsidR="00936B73" w:rsidRPr="00936B73" w:rsidRDefault="00936B73" w:rsidP="00E2161A">
            <w:pPr>
              <w:pStyle w:val="TableText"/>
              <w:rPr>
                <w:color w:val="800080" w:themeColor="accent3"/>
              </w:rPr>
            </w:pPr>
            <w:r w:rsidRPr="00936B73">
              <w:rPr>
                <w:color w:val="800080" w:themeColor="accent3"/>
              </w:rPr>
              <w:t>Natural Gas</w:t>
            </w:r>
          </w:p>
        </w:tc>
        <w:tc>
          <w:tcPr>
            <w:tcW w:w="4410" w:type="dxa"/>
          </w:tcPr>
          <w:p w14:paraId="1F897CBE" w14:textId="1A93CD7C" w:rsidR="00936B73" w:rsidRPr="00936B73" w:rsidRDefault="00936B73" w:rsidP="00E2161A">
            <w:pPr>
              <w:pStyle w:val="TableText"/>
              <w:rPr>
                <w:color w:val="800080" w:themeColor="accent3"/>
              </w:rPr>
            </w:pPr>
            <w:r w:rsidRPr="00936B73">
              <w:rPr>
                <w:color w:val="800080" w:themeColor="accent3"/>
              </w:rPr>
              <w:t>&lt;1%</w:t>
            </w:r>
          </w:p>
        </w:tc>
      </w:tr>
      <w:tr w:rsidR="00936B73" w:rsidRPr="00936B73" w14:paraId="417D9AA7" w14:textId="77777777" w:rsidTr="00936B73">
        <w:trPr>
          <w:cantSplit/>
        </w:trPr>
        <w:tc>
          <w:tcPr>
            <w:tcW w:w="4495" w:type="dxa"/>
          </w:tcPr>
          <w:p w14:paraId="4F555D37" w14:textId="3742E2B9" w:rsidR="00936B73" w:rsidRPr="00936B73" w:rsidRDefault="00936B73" w:rsidP="00E2161A">
            <w:pPr>
              <w:pStyle w:val="TableText"/>
              <w:rPr>
                <w:color w:val="800080" w:themeColor="accent3"/>
              </w:rPr>
            </w:pPr>
            <w:r w:rsidRPr="00936B73">
              <w:rPr>
                <w:color w:val="800080" w:themeColor="accent3"/>
              </w:rPr>
              <w:t>Hydrogen</w:t>
            </w:r>
          </w:p>
        </w:tc>
        <w:tc>
          <w:tcPr>
            <w:tcW w:w="4410" w:type="dxa"/>
          </w:tcPr>
          <w:p w14:paraId="18E5E4DE" w14:textId="75C11DF5" w:rsidR="00936B73" w:rsidRPr="00936B73" w:rsidRDefault="00936B73" w:rsidP="00E2161A">
            <w:pPr>
              <w:pStyle w:val="TableText"/>
              <w:rPr>
                <w:color w:val="800080" w:themeColor="accent3"/>
              </w:rPr>
            </w:pPr>
            <w:r w:rsidRPr="00936B73">
              <w:rPr>
                <w:color w:val="800080" w:themeColor="accent3"/>
              </w:rPr>
              <w:t>&lt;1%</w:t>
            </w:r>
          </w:p>
        </w:tc>
      </w:tr>
    </w:tbl>
    <w:p w14:paraId="21956C5E" w14:textId="7BDF08C6" w:rsidR="002166FC" w:rsidRDefault="002166FC" w:rsidP="00C45818">
      <w:pPr>
        <w:pStyle w:val="TableText"/>
        <w:rPr>
          <w:b/>
          <w:bCs/>
          <w:color w:val="0000FF" w:themeColor="accent1"/>
        </w:rPr>
      </w:pPr>
      <w:r w:rsidRPr="00936B73">
        <w:rPr>
          <w:color w:val="800080" w:themeColor="accent3"/>
        </w:rPr>
        <w:t xml:space="preserve">Source: </w:t>
      </w:r>
      <w:r w:rsidR="00412315">
        <w:rPr>
          <w:color w:val="800080" w:themeColor="accent3"/>
        </w:rPr>
        <w:t>CARB</w:t>
      </w:r>
      <w:r w:rsidR="00936B73" w:rsidRPr="00936B73">
        <w:rPr>
          <w:color w:val="800080" w:themeColor="accent3"/>
        </w:rPr>
        <w:t xml:space="preserve"> 2023</w:t>
      </w:r>
      <w:r w:rsidR="00936B73">
        <w:rPr>
          <w:color w:val="800080" w:themeColor="accent3"/>
        </w:rPr>
        <w:t xml:space="preserve"> </w:t>
      </w:r>
      <w:r w:rsidR="00936B73" w:rsidRPr="00752C53">
        <w:rPr>
          <w:b/>
          <w:bCs/>
          <w:color w:val="0000FF" w:themeColor="accent1"/>
        </w:rPr>
        <w:t>[End example]</w:t>
      </w:r>
    </w:p>
    <w:p w14:paraId="7942772C" w14:textId="77777777" w:rsidR="00C45818" w:rsidRPr="00936B73" w:rsidRDefault="00C45818" w:rsidP="009A516A">
      <w:pPr>
        <w:pStyle w:val="TableText"/>
        <w:rPr>
          <w:color w:val="800080" w:themeColor="accent3"/>
        </w:rPr>
      </w:pPr>
    </w:p>
    <w:p w14:paraId="40D28600" w14:textId="293E497F" w:rsidR="00B721FA" w:rsidRDefault="00B721FA" w:rsidP="00B721FA">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C864ECA" w14:textId="51339EB3" w:rsidR="002A7789" w:rsidRDefault="002A7789" w:rsidP="002A7789">
      <w:pPr>
        <w:pStyle w:val="Heading3"/>
      </w:pPr>
      <w:bookmarkStart w:id="111" w:name="_Toc150334791"/>
      <w:bookmarkStart w:id="112" w:name="_Toc157429588"/>
      <w:r>
        <w:t>Existing Pavement Conditions</w:t>
      </w:r>
      <w:bookmarkEnd w:id="111"/>
      <w:bookmarkEnd w:id="112"/>
      <w:r>
        <w:t xml:space="preserve"> </w:t>
      </w:r>
    </w:p>
    <w:p w14:paraId="178947E5" w14:textId="77777777" w:rsidR="002A7789" w:rsidRDefault="002A7789" w:rsidP="002A7789">
      <w:pPr>
        <w:pStyle w:val="IntroGuidanceHeading1"/>
      </w:pPr>
      <w:r>
        <w:t>GUIDANCE</w:t>
      </w:r>
    </w:p>
    <w:p w14:paraId="6482E489" w14:textId="6809BDE3" w:rsidR="002A7789" w:rsidRPr="002A7789" w:rsidRDefault="0031393C" w:rsidP="00B721FA">
      <w:pPr>
        <w:rPr>
          <w:color w:val="0000FF" w:themeColor="accent1"/>
        </w:rPr>
      </w:pPr>
      <w:r w:rsidRPr="0031393C">
        <w:rPr>
          <w:color w:val="0000FF" w:themeColor="accent1"/>
        </w:rPr>
        <w:t>Describe the condition of existing pavement surfaces in the project area</w:t>
      </w:r>
      <w:r w:rsidR="002A7789" w:rsidRPr="006375A4">
        <w:rPr>
          <w:color w:val="0000FF" w:themeColor="accent1"/>
        </w:rPr>
        <w:t xml:space="preserve">. </w:t>
      </w:r>
      <w:r w:rsidR="00F56C3C">
        <w:rPr>
          <w:color w:val="0000FF" w:themeColor="accent1"/>
        </w:rPr>
        <w:t xml:space="preserve"> The following is example language.</w:t>
      </w:r>
    </w:p>
    <w:p w14:paraId="52038200" w14:textId="7BC46C82" w:rsidR="002249C1" w:rsidRPr="002249C1" w:rsidRDefault="002249C1" w:rsidP="00472599">
      <w:pPr>
        <w:rPr>
          <w:color w:val="800080" w:themeColor="accent3"/>
        </w:rPr>
      </w:pPr>
      <w:r w:rsidRPr="002249C1">
        <w:rPr>
          <w:color w:val="800080" w:themeColor="accent3"/>
        </w:rPr>
        <w:t>Pavement conditions can influence vehicle fuel consumption</w:t>
      </w:r>
      <w:r w:rsidR="00851223" w:rsidRPr="002249C1">
        <w:rPr>
          <w:color w:val="800080" w:themeColor="accent3"/>
        </w:rPr>
        <w:t xml:space="preserve">.  </w:t>
      </w:r>
      <w:r w:rsidRPr="002249C1">
        <w:rPr>
          <w:color w:val="800080" w:themeColor="accent3"/>
        </w:rPr>
        <w:t>For example, a poor driving surface can increase friction and contribute to an increase in fuel consumption</w:t>
      </w:r>
      <w:r w:rsidR="00851223" w:rsidRPr="002249C1">
        <w:rPr>
          <w:color w:val="800080" w:themeColor="accent3"/>
        </w:rPr>
        <w:t xml:space="preserve">.  </w:t>
      </w:r>
      <w:r w:rsidR="003F4B54" w:rsidRPr="003F4B54">
        <w:rPr>
          <w:color w:val="800080" w:themeColor="accent3"/>
        </w:rPr>
        <w:t>The Pavement Condition Survey for the project area has an overall condition rating of poor with</w:t>
      </w:r>
      <w:r w:rsidR="003F4B54">
        <w:rPr>
          <w:color w:val="800080" w:themeColor="accent3"/>
        </w:rPr>
        <w:t xml:space="preserve"> </w:t>
      </w:r>
      <w:r w:rsidR="003F4B54" w:rsidRPr="003F4B54">
        <w:rPr>
          <w:color w:val="800080" w:themeColor="accent3"/>
        </w:rPr>
        <w:t xml:space="preserve">moderate alligator cracking and very poor ride quality throughout. </w:t>
      </w:r>
      <w:r w:rsidR="003F4B54">
        <w:rPr>
          <w:color w:val="800080" w:themeColor="accent3"/>
        </w:rPr>
        <w:t xml:space="preserve"> </w:t>
      </w:r>
      <w:r w:rsidR="003F4B54" w:rsidRPr="003F4B54">
        <w:rPr>
          <w:color w:val="800080" w:themeColor="accent3"/>
        </w:rPr>
        <w:t>The Eucalyptus trees planted</w:t>
      </w:r>
      <w:r w:rsidR="003F4B54">
        <w:rPr>
          <w:color w:val="800080" w:themeColor="accent3"/>
        </w:rPr>
        <w:t xml:space="preserve"> along Roadway A</w:t>
      </w:r>
      <w:r w:rsidR="003F4B54" w:rsidRPr="003F4B54">
        <w:rPr>
          <w:color w:val="800080" w:themeColor="accent3"/>
        </w:rPr>
        <w:t xml:space="preserve"> have impacted the pavement</w:t>
      </w:r>
      <w:r w:rsidR="003F4B54">
        <w:rPr>
          <w:color w:val="800080" w:themeColor="accent3"/>
        </w:rPr>
        <w:t xml:space="preserve"> and </w:t>
      </w:r>
      <w:r w:rsidR="003F4B54" w:rsidRPr="003F4B54">
        <w:rPr>
          <w:color w:val="800080" w:themeColor="accent3"/>
        </w:rPr>
        <w:t>impaired sight distances, curbs</w:t>
      </w:r>
      <w:r w:rsidR="003F4B54">
        <w:rPr>
          <w:color w:val="800080" w:themeColor="accent3"/>
        </w:rPr>
        <w:t>,</w:t>
      </w:r>
      <w:r w:rsidR="003F4B54" w:rsidRPr="003F4B54">
        <w:rPr>
          <w:color w:val="800080" w:themeColor="accent3"/>
        </w:rPr>
        <w:t xml:space="preserve"> and gutters.  There are existing areas where water frequently ponds due to uneven</w:t>
      </w:r>
      <w:r w:rsidR="003F4B54">
        <w:rPr>
          <w:color w:val="800080" w:themeColor="accent3"/>
        </w:rPr>
        <w:t xml:space="preserve"> </w:t>
      </w:r>
      <w:r w:rsidR="003F4B54" w:rsidRPr="003F4B54">
        <w:rPr>
          <w:color w:val="800080" w:themeColor="accent3"/>
        </w:rPr>
        <w:t>roadway profile and inadequate or impacted drainage systems.  Pedestrian access is impaired</w:t>
      </w:r>
      <w:r w:rsidR="003F4B54">
        <w:rPr>
          <w:color w:val="800080" w:themeColor="accent3"/>
        </w:rPr>
        <w:t xml:space="preserve"> </w:t>
      </w:r>
      <w:r w:rsidR="003F4B54" w:rsidRPr="003F4B54">
        <w:rPr>
          <w:color w:val="800080" w:themeColor="accent3"/>
        </w:rPr>
        <w:t xml:space="preserve">due to </w:t>
      </w:r>
      <w:r w:rsidR="003F4B54">
        <w:rPr>
          <w:color w:val="800080" w:themeColor="accent3"/>
        </w:rPr>
        <w:t xml:space="preserve">the </w:t>
      </w:r>
      <w:r w:rsidR="003F4B54" w:rsidRPr="003F4B54">
        <w:rPr>
          <w:color w:val="800080" w:themeColor="accent3"/>
        </w:rPr>
        <w:t>lack of updated curb</w:t>
      </w:r>
      <w:r w:rsidR="007B4FB1">
        <w:rPr>
          <w:color w:val="800080" w:themeColor="accent3"/>
        </w:rPr>
        <w:t>s</w:t>
      </w:r>
      <w:r w:rsidR="003F4B54" w:rsidRPr="003F4B54">
        <w:rPr>
          <w:color w:val="800080" w:themeColor="accent3"/>
        </w:rPr>
        <w:t xml:space="preserve"> and ramps and uneven sidewalks.  The current condition of the</w:t>
      </w:r>
      <w:r w:rsidR="003F4B54">
        <w:rPr>
          <w:color w:val="800080" w:themeColor="accent3"/>
        </w:rPr>
        <w:t xml:space="preserve"> </w:t>
      </w:r>
      <w:r w:rsidR="003F4B54" w:rsidRPr="003F4B54">
        <w:rPr>
          <w:color w:val="800080" w:themeColor="accent3"/>
        </w:rPr>
        <w:t>pavement contributes to higher energy consumption</w:t>
      </w:r>
      <w:r w:rsidR="003F4B54">
        <w:rPr>
          <w:color w:val="800080" w:themeColor="accent3"/>
        </w:rPr>
        <w:t xml:space="preserve"> (</w:t>
      </w:r>
      <w:r w:rsidR="003F4B54" w:rsidRPr="003F4B54">
        <w:rPr>
          <w:color w:val="800080" w:themeColor="accent3"/>
        </w:rPr>
        <w:t>i.e.</w:t>
      </w:r>
      <w:r w:rsidR="003F4B54">
        <w:rPr>
          <w:color w:val="800080" w:themeColor="accent3"/>
        </w:rPr>
        <w:t>,</w:t>
      </w:r>
      <w:r w:rsidR="003F4B54" w:rsidRPr="003F4B54">
        <w:rPr>
          <w:color w:val="800080" w:themeColor="accent3"/>
        </w:rPr>
        <w:t xml:space="preserve"> short intervals between maintenance, </w:t>
      </w:r>
      <w:r w:rsidR="003F4B54">
        <w:rPr>
          <w:color w:val="800080" w:themeColor="accent3"/>
        </w:rPr>
        <w:t>frequency of traffic collisions).</w:t>
      </w:r>
      <w:r w:rsidR="003F4B54" w:rsidRPr="002249C1" w:rsidDel="003F4B54">
        <w:rPr>
          <w:color w:val="800080" w:themeColor="accent3"/>
        </w:rPr>
        <w:t xml:space="preserve"> </w:t>
      </w:r>
      <w:r w:rsidR="003F4B54">
        <w:rPr>
          <w:color w:val="800080" w:themeColor="accent3"/>
        </w:rPr>
        <w:t xml:space="preserve"> </w:t>
      </w:r>
      <w:r w:rsidRPr="00752C53">
        <w:rPr>
          <w:b/>
          <w:bCs/>
          <w:color w:val="0000FF" w:themeColor="accent1"/>
        </w:rPr>
        <w:t>[End example]</w:t>
      </w:r>
    </w:p>
    <w:p w14:paraId="43662627" w14:textId="7D01F9F4" w:rsidR="00B721FA" w:rsidRDefault="002249C1" w:rsidP="0099598E">
      <w:r w:rsidRPr="00B05AA7">
        <w:lastRenderedPageBreak/>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534CC" w14:textId="77777777" w:rsidR="00B721FA" w:rsidRPr="00612793" w:rsidRDefault="00B721FA" w:rsidP="0099598E"/>
    <w:p w14:paraId="79937561" w14:textId="77777777" w:rsidR="0099598E" w:rsidRDefault="0099598E" w:rsidP="002249C1">
      <w:pPr>
        <w:pStyle w:val="Heading1"/>
        <w:numPr>
          <w:ilvl w:val="0"/>
          <w:numId w:val="0"/>
        </w:numPr>
        <w:ind w:left="2880"/>
        <w:sectPr w:rsidR="0099598E" w:rsidSect="00203664">
          <w:pgSz w:w="12240" w:h="15840"/>
          <w:pgMar w:top="1440" w:right="1440" w:bottom="1440" w:left="1440" w:header="720" w:footer="720" w:gutter="0"/>
          <w:cols w:space="720"/>
          <w:docGrid w:linePitch="360"/>
        </w:sectPr>
      </w:pPr>
    </w:p>
    <w:p w14:paraId="440AC6A9" w14:textId="6C7A3B60" w:rsidR="0099598E" w:rsidRDefault="0099598E" w:rsidP="0099598E">
      <w:pPr>
        <w:pStyle w:val="Heading1"/>
      </w:pPr>
      <w:bookmarkStart w:id="113" w:name="_Toc150334792"/>
      <w:bookmarkStart w:id="114" w:name="_Toc157429589"/>
      <w:r>
        <w:lastRenderedPageBreak/>
        <w:t>Environmental Consequences</w:t>
      </w:r>
      <w:bookmarkEnd w:id="113"/>
      <w:bookmarkEnd w:id="114"/>
    </w:p>
    <w:p w14:paraId="35CEFC95" w14:textId="77777777" w:rsidR="00D74B25" w:rsidRDefault="00D74B25" w:rsidP="00D74B25">
      <w:pPr>
        <w:pStyle w:val="IntroGuidanceHeading1"/>
      </w:pPr>
      <w:r>
        <w:t>GUIDANCE</w:t>
      </w:r>
    </w:p>
    <w:p w14:paraId="60BCBA7E" w14:textId="6C64E4F8" w:rsidR="00D74B25" w:rsidRPr="002A7789" w:rsidRDefault="00D33336" w:rsidP="00D74B25">
      <w:pPr>
        <w:rPr>
          <w:color w:val="0000FF" w:themeColor="accent1"/>
        </w:rPr>
      </w:pPr>
      <w:r w:rsidRPr="00D33336">
        <w:rPr>
          <w:color w:val="0000FF" w:themeColor="accent1"/>
        </w:rPr>
        <w:t xml:space="preserve">The Environmental Consequences </w:t>
      </w:r>
      <w:r w:rsidR="007B4FB1">
        <w:rPr>
          <w:color w:val="0000FF" w:themeColor="accent1"/>
        </w:rPr>
        <w:t xml:space="preserve">chapter </w:t>
      </w:r>
      <w:r w:rsidRPr="00D33336">
        <w:rPr>
          <w:color w:val="0000FF" w:themeColor="accent1"/>
        </w:rPr>
        <w:t xml:space="preserve">presents the analysis methods and results. </w:t>
      </w:r>
      <w:r w:rsidR="00F43AF6">
        <w:rPr>
          <w:color w:val="0000FF" w:themeColor="accent1"/>
        </w:rPr>
        <w:t xml:space="preserve"> </w:t>
      </w:r>
      <w:r w:rsidRPr="00D33336">
        <w:rPr>
          <w:color w:val="0000FF" w:themeColor="accent1"/>
        </w:rPr>
        <w:t>Guidance for quantifying energy consumption is provided below</w:t>
      </w:r>
      <w:r w:rsidR="00851223" w:rsidRPr="00D33336">
        <w:rPr>
          <w:color w:val="0000FF" w:themeColor="accent1"/>
        </w:rPr>
        <w:t xml:space="preserve">.  </w:t>
      </w:r>
      <w:r w:rsidRPr="00D33336">
        <w:rPr>
          <w:color w:val="0000FF" w:themeColor="accent1"/>
        </w:rPr>
        <w:t xml:space="preserve">Additional resources are available in the </w:t>
      </w:r>
      <w:r>
        <w:rPr>
          <w:color w:val="0000FF"/>
        </w:rPr>
        <w:t xml:space="preserve">SER, Volume 1, </w:t>
      </w:r>
      <w:hyperlink r:id="rId34" w:history="1">
        <w:r w:rsidRPr="0030512A">
          <w:rPr>
            <w:rStyle w:val="Hyperlink"/>
          </w:rPr>
          <w:t xml:space="preserve">Chapter 13, </w:t>
        </w:r>
        <w:r w:rsidRPr="0030512A">
          <w:rPr>
            <w:rStyle w:val="Hyperlink"/>
            <w:i/>
            <w:iCs/>
          </w:rPr>
          <w:t>Energy</w:t>
        </w:r>
      </w:hyperlink>
      <w:r w:rsidRPr="00D33336">
        <w:rPr>
          <w:color w:val="0000FF" w:themeColor="accent1"/>
        </w:rPr>
        <w:t xml:space="preserve">. The term “significant” shall not be used in the </w:t>
      </w:r>
      <w:r>
        <w:rPr>
          <w:color w:val="0000FF" w:themeColor="accent1"/>
        </w:rPr>
        <w:t>EAR</w:t>
      </w:r>
      <w:r w:rsidRPr="00D33336">
        <w:rPr>
          <w:color w:val="0000FF" w:themeColor="accent1"/>
        </w:rPr>
        <w:t xml:space="preserve">.  The determination of significance will be addressed in the CEQA and/or NEPA document.  </w:t>
      </w:r>
    </w:p>
    <w:p w14:paraId="6C741B4E" w14:textId="77777777" w:rsidR="0099598E" w:rsidRDefault="0099598E" w:rsidP="0099598E">
      <w:pPr>
        <w:pStyle w:val="Heading2"/>
      </w:pPr>
      <w:bookmarkStart w:id="115" w:name="_Toc150334793"/>
      <w:bookmarkStart w:id="116" w:name="_Toc157429590"/>
      <w:r>
        <w:t>Introduction</w:t>
      </w:r>
      <w:bookmarkEnd w:id="116"/>
      <w:r>
        <w:t xml:space="preserve"> </w:t>
      </w:r>
      <w:bookmarkEnd w:id="115"/>
    </w:p>
    <w:p w14:paraId="5BD318DD" w14:textId="06CED249" w:rsidR="008C6035" w:rsidRPr="008C6035" w:rsidRDefault="008C6035" w:rsidP="008C6035">
      <w:pPr>
        <w:rPr>
          <w:color w:val="A50021" w:themeColor="accent2"/>
        </w:rPr>
      </w:pPr>
      <w:r w:rsidRPr="008C6035">
        <w:rPr>
          <w:color w:val="A50021" w:themeColor="accent2"/>
        </w:rPr>
        <w:t xml:space="preserve">Chapter 4, </w:t>
      </w:r>
      <w:r w:rsidRPr="008C6035">
        <w:rPr>
          <w:i/>
          <w:iCs/>
          <w:color w:val="A50021" w:themeColor="accent2"/>
        </w:rPr>
        <w:t>Environmental Consequences</w:t>
      </w:r>
      <w:r w:rsidRPr="008C6035">
        <w:rPr>
          <w:color w:val="A50021" w:themeColor="accent2"/>
        </w:rPr>
        <w:t>, describes the energy analysis methods and results for the proposed project, including project consistency with applicable federal, state, and local energy regulations, policies, and legislation</w:t>
      </w:r>
      <w:r w:rsidR="00851223" w:rsidRPr="008C6035">
        <w:rPr>
          <w:color w:val="A50021" w:themeColor="accent2"/>
        </w:rPr>
        <w:t xml:space="preserve">.  </w:t>
      </w:r>
      <w:r w:rsidRPr="008C6035">
        <w:rPr>
          <w:color w:val="A50021" w:themeColor="accent2"/>
        </w:rPr>
        <w:t xml:space="preserve">The energy analysis is based on the methodology described in the Caltrans </w:t>
      </w:r>
      <w:r w:rsidR="00C47360">
        <w:rPr>
          <w:color w:val="A50021" w:themeColor="accent2"/>
        </w:rPr>
        <w:t>Standard Environmental Reference</w:t>
      </w:r>
      <w:r w:rsidR="00762BB4">
        <w:rPr>
          <w:color w:val="A50021" w:themeColor="accent2"/>
        </w:rPr>
        <w:t xml:space="preserve"> (SER)</w:t>
      </w:r>
      <w:r w:rsidRPr="008C6035">
        <w:rPr>
          <w:color w:val="A50021" w:themeColor="accent2"/>
        </w:rPr>
        <w:t xml:space="preserve">, Volume 1, Chapter 13, </w:t>
      </w:r>
      <w:r w:rsidRPr="008C6035">
        <w:rPr>
          <w:i/>
          <w:iCs/>
          <w:color w:val="A50021" w:themeColor="accent2"/>
        </w:rPr>
        <w:t>Energy</w:t>
      </w:r>
      <w:r w:rsidR="00851223" w:rsidRPr="008C6035">
        <w:rPr>
          <w:color w:val="A50021" w:themeColor="accent2"/>
        </w:rPr>
        <w:t xml:space="preserve">.  </w:t>
      </w:r>
      <w:r w:rsidRPr="008C6035">
        <w:rPr>
          <w:color w:val="A50021" w:themeColor="accent2"/>
        </w:rPr>
        <w:t xml:space="preserve">The analysis addresses direct and indirect energy consumption, which in the context of project-level transportation planning, are defined as follows: </w:t>
      </w:r>
    </w:p>
    <w:p w14:paraId="7836A9C4" w14:textId="57CF99AB" w:rsidR="00C47360" w:rsidRPr="00C47360" w:rsidRDefault="00C47360" w:rsidP="00C47360">
      <w:pPr>
        <w:numPr>
          <w:ilvl w:val="0"/>
          <w:numId w:val="18"/>
        </w:numPr>
        <w:rPr>
          <w:color w:val="A50021" w:themeColor="accent2"/>
        </w:rPr>
      </w:pPr>
      <w:r w:rsidRPr="00C47360">
        <w:rPr>
          <w:b/>
          <w:bCs/>
          <w:color w:val="A50021" w:themeColor="accent2"/>
        </w:rPr>
        <w:t>Direct energy</w:t>
      </w:r>
      <w:r w:rsidRPr="00C47360">
        <w:rPr>
          <w:color w:val="A50021" w:themeColor="accent2"/>
        </w:rPr>
        <w:t xml:space="preserve"> involves all energy consumed by vehicle propulsion (e.g., automobiles, trains, airplanes)</w:t>
      </w:r>
      <w:r w:rsidR="00851223" w:rsidRPr="00C47360">
        <w:rPr>
          <w:color w:val="A50021" w:themeColor="accent2"/>
        </w:rPr>
        <w:t xml:space="preserve">.  </w:t>
      </w:r>
      <w:r w:rsidRPr="00C47360">
        <w:rPr>
          <w:color w:val="A50021" w:themeColor="accent2"/>
        </w:rPr>
        <w:t xml:space="preserve">This energy consumption is a function of traffic characteristics such as VMT (volume </w:t>
      </w:r>
      <w:r w:rsidR="00F43AF6">
        <w:rPr>
          <w:color w:val="A50021" w:themeColor="accent2"/>
        </w:rPr>
        <w:t>X</w:t>
      </w:r>
      <w:r w:rsidRPr="00C47360">
        <w:rPr>
          <w:color w:val="A50021" w:themeColor="accent2"/>
        </w:rPr>
        <w:t xml:space="preserve"> distance traveled), speed, vehicle mix, and thermal value of the fuel being used.</w:t>
      </w:r>
      <w:r w:rsidRPr="00C47360">
        <w:rPr>
          <w:b/>
          <w:bCs/>
          <w:color w:val="A50021" w:themeColor="accent2"/>
        </w:rPr>
        <w:t xml:space="preserve"> </w:t>
      </w:r>
    </w:p>
    <w:p w14:paraId="641BC035" w14:textId="77777777" w:rsidR="00C47360" w:rsidRPr="00F127A6" w:rsidRDefault="00C47360" w:rsidP="00C47360">
      <w:pPr>
        <w:numPr>
          <w:ilvl w:val="0"/>
          <w:numId w:val="18"/>
        </w:numPr>
        <w:rPr>
          <w:color w:val="A50021" w:themeColor="accent2"/>
        </w:rPr>
      </w:pPr>
      <w:r w:rsidRPr="00F127A6">
        <w:rPr>
          <w:b/>
          <w:bCs/>
          <w:color w:val="A50021" w:themeColor="accent2"/>
        </w:rPr>
        <w:t>Indirect energy</w:t>
      </w:r>
      <w:r w:rsidRPr="00F127A6">
        <w:rPr>
          <w:color w:val="A50021" w:themeColor="accent2"/>
        </w:rPr>
        <w:t xml:space="preserve"> is all the remaining energy needed to construct, operate, and maintain the roadway. </w:t>
      </w:r>
    </w:p>
    <w:p w14:paraId="17A9A2C6" w14:textId="129416FF" w:rsidR="00C47360" w:rsidRPr="00C47360" w:rsidRDefault="00C47360" w:rsidP="00C47360">
      <w:pPr>
        <w:rPr>
          <w:color w:val="A50021" w:themeColor="accent2"/>
        </w:rPr>
      </w:pPr>
      <w:r w:rsidRPr="00C47360">
        <w:rPr>
          <w:color w:val="A50021" w:themeColor="accent2"/>
        </w:rPr>
        <w:t>On a much larger scale, many energy users contribute indirectly to the energy consumption of a transportation system, but these are difficult to reliably quantify at the individual project level</w:t>
      </w:r>
      <w:r w:rsidR="00851223" w:rsidRPr="00C47360">
        <w:rPr>
          <w:color w:val="A50021" w:themeColor="accent2"/>
        </w:rPr>
        <w:t xml:space="preserve">.  </w:t>
      </w:r>
      <w:r w:rsidRPr="00C47360">
        <w:rPr>
          <w:color w:val="A50021" w:themeColor="accent2"/>
        </w:rPr>
        <w:t>These energy users include those that refine raw materials into products such as vehicles or roads; explore for and refine oil into various fuels; construct and maintain dams, power plants, transmission lines, fuel distribution systems, train stations, and airports; and many others</w:t>
      </w:r>
      <w:r w:rsidR="00851223" w:rsidRPr="00C47360">
        <w:rPr>
          <w:color w:val="A50021" w:themeColor="accent2"/>
        </w:rPr>
        <w:t xml:space="preserve">.  </w:t>
      </w:r>
      <w:r w:rsidRPr="00C47360">
        <w:rPr>
          <w:color w:val="A50021" w:themeColor="accent2"/>
        </w:rPr>
        <w:t>Such factors are often studied in energy life cycle or carbon footprint analyses and are beyond the scope of the project-level transportation energy analysis.</w:t>
      </w:r>
    </w:p>
    <w:p w14:paraId="4083EFDB" w14:textId="1408528C" w:rsidR="002269E1" w:rsidRDefault="00C47360" w:rsidP="0099598E">
      <w:pPr>
        <w:rPr>
          <w:color w:val="A50021" w:themeColor="accent2"/>
        </w:rPr>
      </w:pPr>
      <w:r w:rsidRPr="00C47360">
        <w:rPr>
          <w:color w:val="A50021" w:themeColor="accent2"/>
        </w:rPr>
        <w:t xml:space="preserve">Analysis results are given in terms of the energy volumes and </w:t>
      </w:r>
      <w:bookmarkStart w:id="117" w:name="_Hlk149030819"/>
      <w:r w:rsidRPr="00C47360">
        <w:rPr>
          <w:color w:val="A50021" w:themeColor="accent2"/>
        </w:rPr>
        <w:t>British thermal units (BTU)</w:t>
      </w:r>
      <w:bookmarkEnd w:id="117"/>
      <w:r w:rsidR="00851223" w:rsidRPr="00C47360">
        <w:rPr>
          <w:color w:val="A50021" w:themeColor="accent2"/>
        </w:rPr>
        <w:t xml:space="preserve">.  </w:t>
      </w:r>
      <w:r w:rsidRPr="00C47360">
        <w:rPr>
          <w:color w:val="A50021" w:themeColor="accent2"/>
        </w:rPr>
        <w:t>The units for energy volume depend on the energy type</w:t>
      </w:r>
      <w:r w:rsidR="00851223" w:rsidRPr="00C47360">
        <w:rPr>
          <w:color w:val="A50021" w:themeColor="accent2"/>
        </w:rPr>
        <w:t xml:space="preserve">.  </w:t>
      </w:r>
      <w:r w:rsidRPr="00C47360">
        <w:rPr>
          <w:color w:val="A50021" w:themeColor="accent2"/>
        </w:rPr>
        <w:t>For example, diesel and gasoline consumption are reported in terms of gallons of each fuel type</w:t>
      </w:r>
      <w:r w:rsidR="007B4FB1">
        <w:rPr>
          <w:color w:val="A50021" w:themeColor="accent2"/>
        </w:rPr>
        <w:t>,</w:t>
      </w:r>
      <w:r w:rsidRPr="00C47360">
        <w:rPr>
          <w:color w:val="A50021" w:themeColor="accent2"/>
        </w:rPr>
        <w:t xml:space="preserve"> whereas electricity consumption is reported in terms of </w:t>
      </w:r>
      <w:bookmarkStart w:id="118" w:name="_Hlk149030825"/>
      <w:r w:rsidRPr="00C47360">
        <w:rPr>
          <w:color w:val="A50021" w:themeColor="accent2"/>
        </w:rPr>
        <w:t>kilowatt-hours (kWh)</w:t>
      </w:r>
      <w:bookmarkEnd w:id="118"/>
      <w:r w:rsidR="00851223" w:rsidRPr="00C47360">
        <w:rPr>
          <w:color w:val="A50021" w:themeColor="accent2"/>
        </w:rPr>
        <w:t xml:space="preserve">.  </w:t>
      </w:r>
      <w:r w:rsidRPr="00C47360">
        <w:rPr>
          <w:color w:val="A50021" w:themeColor="accent2"/>
        </w:rPr>
        <w:t xml:space="preserve">The fuel unit for natural gas is </w:t>
      </w:r>
      <w:bookmarkStart w:id="119" w:name="_Hlk149030830"/>
      <w:r w:rsidRPr="00C47360">
        <w:rPr>
          <w:color w:val="A50021" w:themeColor="accent2"/>
        </w:rPr>
        <w:t>standard cubic feet (</w:t>
      </w:r>
      <w:proofErr w:type="spellStart"/>
      <w:r w:rsidRPr="00C47360">
        <w:rPr>
          <w:color w:val="A50021" w:themeColor="accent2"/>
        </w:rPr>
        <w:t>scf</w:t>
      </w:r>
      <w:proofErr w:type="spellEnd"/>
      <w:r w:rsidRPr="00C47360">
        <w:rPr>
          <w:color w:val="A50021" w:themeColor="accent2"/>
        </w:rPr>
        <w:t>)</w:t>
      </w:r>
      <w:bookmarkEnd w:id="119"/>
      <w:r w:rsidR="00851223" w:rsidRPr="00C47360">
        <w:rPr>
          <w:color w:val="A50021" w:themeColor="accent2"/>
        </w:rPr>
        <w:t xml:space="preserve">.  </w:t>
      </w:r>
      <w:r w:rsidRPr="00C47360">
        <w:rPr>
          <w:color w:val="A50021" w:themeColor="accent2"/>
        </w:rPr>
        <w:t>BTU is the quantity of heat required to raise the temperature of one pound of water one degree Fahrenheit at sea level</w:t>
      </w:r>
      <w:r w:rsidR="00851223" w:rsidRPr="00C47360">
        <w:rPr>
          <w:color w:val="A50021" w:themeColor="accent2"/>
        </w:rPr>
        <w:t xml:space="preserve">.  </w:t>
      </w:r>
      <w:r w:rsidRPr="00C47360">
        <w:rPr>
          <w:color w:val="A50021" w:themeColor="accent2"/>
        </w:rPr>
        <w:t xml:space="preserve">Because other units of energy can be converted into equivalent BTU, the BTU is used as a basis for comparing the consumption of different types of energy resources. </w:t>
      </w:r>
      <w:r w:rsidR="00C45818">
        <w:rPr>
          <w:color w:val="A50021" w:themeColor="accent2"/>
        </w:rPr>
        <w:t xml:space="preserve"> </w:t>
      </w:r>
    </w:p>
    <w:p w14:paraId="5BF21737" w14:textId="2E51BC14" w:rsidR="00457ACA" w:rsidRDefault="00C47360" w:rsidP="0099598E">
      <w:pPr>
        <w:rPr>
          <w:color w:val="A50021" w:themeColor="accent2"/>
        </w:rPr>
      </w:pPr>
      <w:r w:rsidRPr="00C47360">
        <w:rPr>
          <w:color w:val="A50021" w:themeColor="accent2"/>
        </w:rPr>
        <w:lastRenderedPageBreak/>
        <w:t>Table 4-1 shows the BTU conversions for the energy types evaluated in this report.</w:t>
      </w:r>
      <w:r w:rsidR="002269E1">
        <w:rPr>
          <w:color w:val="A50021" w:themeColor="accent2"/>
        </w:rPr>
        <w:t xml:space="preserve">  Note that </w:t>
      </w:r>
      <w:r w:rsidR="002269E1" w:rsidRPr="002269E1">
        <w:rPr>
          <w:color w:val="A50021" w:themeColor="accent2"/>
        </w:rPr>
        <w:t xml:space="preserve">CT-EMFAC version 2021 reports fuel consumption for natural gas as diesel equivalent gallon (DEG).  A DEG has an equivalent energy content to a gallon of diesel fuel.  A DEG of natural gas can be converted to </w:t>
      </w:r>
      <w:proofErr w:type="spellStart"/>
      <w:r w:rsidR="002269E1" w:rsidRPr="002269E1">
        <w:rPr>
          <w:color w:val="A50021" w:themeColor="accent2"/>
        </w:rPr>
        <w:t>scf</w:t>
      </w:r>
      <w:proofErr w:type="spellEnd"/>
      <w:r w:rsidR="002269E1" w:rsidRPr="002269E1">
        <w:rPr>
          <w:color w:val="A50021" w:themeColor="accent2"/>
        </w:rPr>
        <w:t xml:space="preserve"> using a conversion factor of 144 </w:t>
      </w:r>
      <w:proofErr w:type="spellStart"/>
      <w:r w:rsidR="002269E1" w:rsidRPr="002269E1">
        <w:rPr>
          <w:color w:val="A50021" w:themeColor="accent2"/>
        </w:rPr>
        <w:t>scf</w:t>
      </w:r>
      <w:proofErr w:type="spellEnd"/>
      <w:r w:rsidR="002269E1" w:rsidRPr="002269E1">
        <w:rPr>
          <w:color w:val="A50021" w:themeColor="accent2"/>
        </w:rPr>
        <w:t xml:space="preserve"> per DEG (Caltrans 2021</w:t>
      </w:r>
      <w:r w:rsidR="002269E1">
        <w:rPr>
          <w:color w:val="A50021" w:themeColor="accent2"/>
        </w:rPr>
        <w:t>).</w:t>
      </w:r>
    </w:p>
    <w:p w14:paraId="0DC1958C" w14:textId="24E6890E" w:rsidR="00C80F9B" w:rsidRDefault="004F24C2" w:rsidP="00C80F9B">
      <w:pPr>
        <w:pStyle w:val="TableTitle"/>
        <w:rPr>
          <w:color w:val="A50021" w:themeColor="accent2"/>
        </w:rPr>
      </w:pPr>
      <w:bookmarkStart w:id="120" w:name="_Toc157429609"/>
      <w:r w:rsidRPr="004F24C2">
        <w:rPr>
          <w:color w:val="A50021" w:themeColor="accent2"/>
        </w:rPr>
        <w:t xml:space="preserve">Table </w:t>
      </w:r>
      <w:r w:rsidRPr="004F24C2">
        <w:rPr>
          <w:color w:val="A50021" w:themeColor="accent2"/>
        </w:rPr>
        <w:fldChar w:fldCharType="begin"/>
      </w:r>
      <w:r w:rsidRPr="004F24C2">
        <w:rPr>
          <w:color w:val="A50021" w:themeColor="accent2"/>
        </w:rPr>
        <w:instrText xml:space="preserve"> STYLEREF 1 \s </w:instrText>
      </w:r>
      <w:r w:rsidRPr="004F24C2">
        <w:rPr>
          <w:color w:val="A50021" w:themeColor="accent2"/>
        </w:rPr>
        <w:fldChar w:fldCharType="separate"/>
      </w:r>
      <w:r w:rsidRPr="004F24C2">
        <w:rPr>
          <w:noProof/>
          <w:color w:val="A50021" w:themeColor="accent2"/>
        </w:rPr>
        <w:t>4</w:t>
      </w:r>
      <w:r w:rsidRPr="004F24C2">
        <w:rPr>
          <w:noProof/>
          <w:color w:val="A50021" w:themeColor="accent2"/>
        </w:rPr>
        <w:fldChar w:fldCharType="end"/>
      </w:r>
      <w:r w:rsidRPr="004F24C2">
        <w:rPr>
          <w:color w:val="A50021" w:themeColor="accent2"/>
        </w:rPr>
        <w:noBreakHyphen/>
      </w:r>
      <w:r w:rsidRPr="004F24C2">
        <w:rPr>
          <w:color w:val="A50021" w:themeColor="accent2"/>
        </w:rPr>
        <w:fldChar w:fldCharType="begin"/>
      </w:r>
      <w:r w:rsidRPr="004F24C2">
        <w:rPr>
          <w:color w:val="A50021" w:themeColor="accent2"/>
        </w:rPr>
        <w:instrText xml:space="preserve"> SEQ Table \* ARABIC \s 1 </w:instrText>
      </w:r>
      <w:r w:rsidRPr="004F24C2">
        <w:rPr>
          <w:color w:val="A50021" w:themeColor="accent2"/>
        </w:rPr>
        <w:fldChar w:fldCharType="separate"/>
      </w:r>
      <w:r w:rsidRPr="004F24C2">
        <w:rPr>
          <w:noProof/>
          <w:color w:val="A50021" w:themeColor="accent2"/>
        </w:rPr>
        <w:t>1</w:t>
      </w:r>
      <w:r w:rsidRPr="004F24C2">
        <w:rPr>
          <w:noProof/>
          <w:color w:val="A50021" w:themeColor="accent2"/>
        </w:rPr>
        <w:fldChar w:fldCharType="end"/>
      </w:r>
      <w:r w:rsidRPr="004F24C2">
        <w:rPr>
          <w:color w:val="A50021" w:themeColor="accent2"/>
        </w:rPr>
        <w:t xml:space="preserve">: </w:t>
      </w:r>
      <w:r w:rsidR="008D310E" w:rsidRPr="005435C4">
        <w:rPr>
          <w:color w:val="A50021" w:themeColor="accent2"/>
        </w:rPr>
        <w:t>BTU Conversions by Project Energy Type</w:t>
      </w:r>
      <w:bookmarkEnd w:id="120"/>
    </w:p>
    <w:p w14:paraId="74CE307B" w14:textId="600BAE63" w:rsidR="005435C4" w:rsidRPr="005435C4" w:rsidRDefault="005435C4" w:rsidP="00C80F9B">
      <w:pPr>
        <w:pStyle w:val="TableTitle"/>
        <w:rPr>
          <w:color w:val="A50021" w:themeColor="accent2"/>
        </w:rPr>
      </w:pPr>
      <w:r w:rsidRPr="00C74B96">
        <w:rPr>
          <w:b w:val="0"/>
          <w:bCs w:val="0"/>
          <w:color w:val="0000FF" w:themeColor="accent1"/>
        </w:rPr>
        <w:t>[</w:t>
      </w:r>
      <w:r>
        <w:rPr>
          <w:color w:val="0000FF" w:themeColor="accent1"/>
        </w:rPr>
        <w:t xml:space="preserve">NOTE: </w:t>
      </w:r>
      <w:r w:rsidR="00C74B96" w:rsidRPr="00C74B96">
        <w:rPr>
          <w:b w:val="0"/>
          <w:bCs w:val="0"/>
          <w:color w:val="0000FF" w:themeColor="accent1"/>
        </w:rPr>
        <w:t>Revise table if additional energy types (e.g., hydrogen) are evaluated in the project study</w:t>
      </w:r>
      <w:r w:rsidR="00C74B96">
        <w:rPr>
          <w:b w:val="0"/>
          <w:bCs w:val="0"/>
          <w:color w:val="0000FF" w:themeColor="accent1"/>
        </w:rPr>
        <w:t>.</w:t>
      </w:r>
      <w:r w:rsidR="00C74B96" w:rsidRPr="00C74B96">
        <w:rPr>
          <w:b w:val="0"/>
          <w:bCs w:val="0"/>
          <w:color w:val="0000FF" w:themeColor="accent1"/>
        </w:rPr>
        <w:t>]</w:t>
      </w:r>
    </w:p>
    <w:tbl>
      <w:tblPr>
        <w:tblStyle w:val="TableGrid"/>
        <w:tblW w:w="0" w:type="auto"/>
        <w:tblLook w:val="0020" w:firstRow="1" w:lastRow="0" w:firstColumn="0" w:lastColumn="0" w:noHBand="0" w:noVBand="0"/>
        <w:tblCaption w:val="Britsh Thermal Unit Conversions by Project Energy Type"/>
        <w:tblDescription w:val="A table that provides the energy unit and equivalent British Thermal Unit conversion for various energy types. "/>
      </w:tblPr>
      <w:tblGrid>
        <w:gridCol w:w="3232"/>
        <w:gridCol w:w="3239"/>
        <w:gridCol w:w="2879"/>
      </w:tblGrid>
      <w:tr w:rsidR="005435C4" w:rsidRPr="005435C4" w14:paraId="715319FC" w14:textId="1370B17F" w:rsidTr="008D310E">
        <w:trPr>
          <w:cantSplit/>
        </w:trPr>
        <w:tc>
          <w:tcPr>
            <w:tcW w:w="3232" w:type="dxa"/>
          </w:tcPr>
          <w:p w14:paraId="5692E37D" w14:textId="4A9AFCF1" w:rsidR="008D310E" w:rsidRPr="005435C4" w:rsidRDefault="008D310E" w:rsidP="00E2161A">
            <w:pPr>
              <w:pStyle w:val="TableHeading"/>
              <w:rPr>
                <w:color w:val="A50021" w:themeColor="accent2"/>
              </w:rPr>
            </w:pPr>
            <w:r w:rsidRPr="005435C4">
              <w:rPr>
                <w:color w:val="A50021" w:themeColor="accent2"/>
              </w:rPr>
              <w:t>Energy Type</w:t>
            </w:r>
          </w:p>
        </w:tc>
        <w:tc>
          <w:tcPr>
            <w:tcW w:w="3239" w:type="dxa"/>
          </w:tcPr>
          <w:p w14:paraId="5C2E2520" w14:textId="5DAB9A9C" w:rsidR="008D310E" w:rsidRPr="005435C4" w:rsidRDefault="008D310E" w:rsidP="00E2161A">
            <w:pPr>
              <w:pStyle w:val="TableHeading"/>
              <w:rPr>
                <w:color w:val="A50021" w:themeColor="accent2"/>
              </w:rPr>
            </w:pPr>
            <w:r w:rsidRPr="005435C4">
              <w:rPr>
                <w:color w:val="A50021" w:themeColor="accent2"/>
              </w:rPr>
              <w:t>Energy Unit</w:t>
            </w:r>
          </w:p>
        </w:tc>
        <w:tc>
          <w:tcPr>
            <w:tcW w:w="2879" w:type="dxa"/>
          </w:tcPr>
          <w:p w14:paraId="65560444" w14:textId="0EA33D2C" w:rsidR="008D310E" w:rsidRPr="005435C4" w:rsidRDefault="008D310E" w:rsidP="00E2161A">
            <w:pPr>
              <w:pStyle w:val="TableHeading"/>
              <w:rPr>
                <w:color w:val="A50021" w:themeColor="accent2"/>
              </w:rPr>
            </w:pPr>
            <w:r w:rsidRPr="005435C4">
              <w:rPr>
                <w:color w:val="A50021" w:themeColor="accent2"/>
              </w:rPr>
              <w:t>Equivalent BTU</w:t>
            </w:r>
          </w:p>
        </w:tc>
      </w:tr>
      <w:tr w:rsidR="005435C4" w:rsidRPr="005435C4" w14:paraId="29743D54" w14:textId="1816BF60" w:rsidTr="008D310E">
        <w:trPr>
          <w:cantSplit/>
        </w:trPr>
        <w:tc>
          <w:tcPr>
            <w:tcW w:w="3232" w:type="dxa"/>
          </w:tcPr>
          <w:p w14:paraId="1C18BED4" w14:textId="14C0F9AE" w:rsidR="008D310E" w:rsidRPr="005435C4" w:rsidRDefault="008D310E" w:rsidP="00E2161A">
            <w:pPr>
              <w:pStyle w:val="TableText"/>
              <w:rPr>
                <w:color w:val="A50021" w:themeColor="accent2"/>
              </w:rPr>
            </w:pPr>
            <w:r w:rsidRPr="005435C4">
              <w:rPr>
                <w:color w:val="A50021" w:themeColor="accent2"/>
              </w:rPr>
              <w:t>Electricity</w:t>
            </w:r>
          </w:p>
        </w:tc>
        <w:tc>
          <w:tcPr>
            <w:tcW w:w="3239" w:type="dxa"/>
          </w:tcPr>
          <w:p w14:paraId="7C5D7C3D" w14:textId="0374F046" w:rsidR="008D310E" w:rsidRPr="005435C4" w:rsidRDefault="008D310E" w:rsidP="00E2161A">
            <w:pPr>
              <w:pStyle w:val="TableText"/>
              <w:rPr>
                <w:color w:val="A50021" w:themeColor="accent2"/>
              </w:rPr>
            </w:pPr>
            <w:r w:rsidRPr="005435C4">
              <w:rPr>
                <w:color w:val="A50021" w:themeColor="accent2"/>
              </w:rPr>
              <w:t>kWh</w:t>
            </w:r>
          </w:p>
        </w:tc>
        <w:tc>
          <w:tcPr>
            <w:tcW w:w="2879" w:type="dxa"/>
          </w:tcPr>
          <w:p w14:paraId="3BB896E0" w14:textId="63FE58C8" w:rsidR="008D310E" w:rsidRPr="005435C4" w:rsidRDefault="008D310E" w:rsidP="00E2161A">
            <w:pPr>
              <w:pStyle w:val="TableText"/>
              <w:rPr>
                <w:color w:val="A50021" w:themeColor="accent2"/>
              </w:rPr>
            </w:pPr>
            <w:r w:rsidRPr="005435C4">
              <w:rPr>
                <w:color w:val="A50021" w:themeColor="accent2"/>
              </w:rPr>
              <w:t>3,412</w:t>
            </w:r>
          </w:p>
        </w:tc>
      </w:tr>
      <w:tr w:rsidR="005435C4" w:rsidRPr="005435C4" w14:paraId="5E7408A5" w14:textId="70375A3F" w:rsidTr="008D310E">
        <w:trPr>
          <w:cantSplit/>
        </w:trPr>
        <w:tc>
          <w:tcPr>
            <w:tcW w:w="3232" w:type="dxa"/>
          </w:tcPr>
          <w:p w14:paraId="6B617B15" w14:textId="25105E97" w:rsidR="008D310E" w:rsidRPr="005435C4" w:rsidRDefault="008D310E" w:rsidP="00E2161A">
            <w:pPr>
              <w:pStyle w:val="TableText"/>
              <w:rPr>
                <w:color w:val="A50021" w:themeColor="accent2"/>
              </w:rPr>
            </w:pPr>
            <w:r w:rsidRPr="005435C4">
              <w:rPr>
                <w:color w:val="A50021" w:themeColor="accent2"/>
              </w:rPr>
              <w:t>Gasoline</w:t>
            </w:r>
          </w:p>
        </w:tc>
        <w:tc>
          <w:tcPr>
            <w:tcW w:w="3239" w:type="dxa"/>
          </w:tcPr>
          <w:p w14:paraId="15BBBDFB" w14:textId="318C72DD" w:rsidR="008D310E" w:rsidRPr="005435C4" w:rsidRDefault="008D310E" w:rsidP="00E2161A">
            <w:pPr>
              <w:pStyle w:val="TableText"/>
              <w:rPr>
                <w:color w:val="A50021" w:themeColor="accent2"/>
              </w:rPr>
            </w:pPr>
            <w:r w:rsidRPr="005435C4">
              <w:rPr>
                <w:color w:val="A50021" w:themeColor="accent2"/>
              </w:rPr>
              <w:t>gallon</w:t>
            </w:r>
          </w:p>
        </w:tc>
        <w:tc>
          <w:tcPr>
            <w:tcW w:w="2879" w:type="dxa"/>
          </w:tcPr>
          <w:p w14:paraId="168E0EB6" w14:textId="5F770EB6" w:rsidR="008D310E" w:rsidRPr="005435C4" w:rsidRDefault="008D310E" w:rsidP="00E2161A">
            <w:pPr>
              <w:pStyle w:val="TableText"/>
              <w:rPr>
                <w:color w:val="A50021" w:themeColor="accent2"/>
              </w:rPr>
            </w:pPr>
            <w:r w:rsidRPr="005435C4">
              <w:rPr>
                <w:color w:val="A50021" w:themeColor="accent2"/>
              </w:rPr>
              <w:t>120,214</w:t>
            </w:r>
          </w:p>
        </w:tc>
      </w:tr>
      <w:tr w:rsidR="005435C4" w:rsidRPr="005435C4" w14:paraId="0F66CC75" w14:textId="3F8415CA" w:rsidTr="008D310E">
        <w:trPr>
          <w:cantSplit/>
        </w:trPr>
        <w:tc>
          <w:tcPr>
            <w:tcW w:w="3232" w:type="dxa"/>
          </w:tcPr>
          <w:p w14:paraId="247C8034" w14:textId="0A321BF6" w:rsidR="008D310E" w:rsidRPr="005435C4" w:rsidRDefault="008D310E" w:rsidP="00E2161A">
            <w:pPr>
              <w:pStyle w:val="TableText"/>
              <w:rPr>
                <w:color w:val="A50021" w:themeColor="accent2"/>
              </w:rPr>
            </w:pPr>
            <w:r w:rsidRPr="005435C4">
              <w:rPr>
                <w:color w:val="A50021" w:themeColor="accent2"/>
              </w:rPr>
              <w:t>Diesel</w:t>
            </w:r>
          </w:p>
        </w:tc>
        <w:tc>
          <w:tcPr>
            <w:tcW w:w="3239" w:type="dxa"/>
          </w:tcPr>
          <w:p w14:paraId="574F11B2" w14:textId="182BBCB2" w:rsidR="008D310E" w:rsidRPr="005435C4" w:rsidRDefault="008D310E" w:rsidP="00E2161A">
            <w:pPr>
              <w:pStyle w:val="TableText"/>
              <w:rPr>
                <w:color w:val="A50021" w:themeColor="accent2"/>
              </w:rPr>
            </w:pPr>
            <w:r w:rsidRPr="005435C4">
              <w:rPr>
                <w:color w:val="A50021" w:themeColor="accent2"/>
              </w:rPr>
              <w:t>gallon</w:t>
            </w:r>
          </w:p>
        </w:tc>
        <w:tc>
          <w:tcPr>
            <w:tcW w:w="2879" w:type="dxa"/>
          </w:tcPr>
          <w:p w14:paraId="4944B163" w14:textId="1BFCDE74" w:rsidR="008D310E" w:rsidRPr="005435C4" w:rsidRDefault="008D310E" w:rsidP="00E2161A">
            <w:pPr>
              <w:pStyle w:val="TableText"/>
              <w:rPr>
                <w:color w:val="A50021" w:themeColor="accent2"/>
              </w:rPr>
            </w:pPr>
            <w:r w:rsidRPr="005435C4">
              <w:rPr>
                <w:color w:val="A50021" w:themeColor="accent2"/>
              </w:rPr>
              <w:t>137,381</w:t>
            </w:r>
          </w:p>
        </w:tc>
      </w:tr>
      <w:tr w:rsidR="005435C4" w:rsidRPr="005435C4" w14:paraId="2902D8CB" w14:textId="08A67CA5" w:rsidTr="008D310E">
        <w:trPr>
          <w:cantSplit/>
        </w:trPr>
        <w:tc>
          <w:tcPr>
            <w:tcW w:w="3232" w:type="dxa"/>
          </w:tcPr>
          <w:p w14:paraId="75BE6277" w14:textId="336805FB" w:rsidR="008D310E" w:rsidRPr="00AC2421" w:rsidRDefault="008D310E" w:rsidP="00E2161A">
            <w:pPr>
              <w:pStyle w:val="TableText"/>
              <w:rPr>
                <w:color w:val="A50021" w:themeColor="accent2"/>
                <w:vertAlign w:val="superscript"/>
              </w:rPr>
            </w:pPr>
            <w:r w:rsidRPr="005435C4">
              <w:rPr>
                <w:color w:val="A50021" w:themeColor="accent2"/>
              </w:rPr>
              <w:t>Natural Gas</w:t>
            </w:r>
            <w:r w:rsidR="009A42E6">
              <w:rPr>
                <w:color w:val="A50021" w:themeColor="accent2"/>
              </w:rPr>
              <w:t xml:space="preserve"> </w:t>
            </w:r>
          </w:p>
        </w:tc>
        <w:tc>
          <w:tcPr>
            <w:tcW w:w="3239" w:type="dxa"/>
          </w:tcPr>
          <w:p w14:paraId="23D477C0" w14:textId="397F64AB" w:rsidR="008D310E" w:rsidRPr="005435C4" w:rsidRDefault="008D310E" w:rsidP="00E2161A">
            <w:pPr>
              <w:pStyle w:val="TableText"/>
              <w:rPr>
                <w:color w:val="A50021" w:themeColor="accent2"/>
              </w:rPr>
            </w:pPr>
            <w:proofErr w:type="spellStart"/>
            <w:r w:rsidRPr="005435C4">
              <w:rPr>
                <w:color w:val="A50021" w:themeColor="accent2"/>
              </w:rPr>
              <w:t>scf</w:t>
            </w:r>
            <w:proofErr w:type="spellEnd"/>
          </w:p>
        </w:tc>
        <w:tc>
          <w:tcPr>
            <w:tcW w:w="2879" w:type="dxa"/>
          </w:tcPr>
          <w:p w14:paraId="7608790A" w14:textId="768FB8D1" w:rsidR="008D310E" w:rsidRPr="005435C4" w:rsidRDefault="008D310E" w:rsidP="00E2161A">
            <w:pPr>
              <w:pStyle w:val="TableText"/>
              <w:rPr>
                <w:color w:val="A50021" w:themeColor="accent2"/>
              </w:rPr>
            </w:pPr>
            <w:r w:rsidRPr="005435C4">
              <w:rPr>
                <w:color w:val="A50021" w:themeColor="accent2"/>
              </w:rPr>
              <w:t>1,036</w:t>
            </w:r>
          </w:p>
        </w:tc>
      </w:tr>
    </w:tbl>
    <w:p w14:paraId="68B62001" w14:textId="5642FBE4" w:rsidR="009A42E6" w:rsidRPr="001A7F2B" w:rsidRDefault="00C80F9B" w:rsidP="001A7F2B">
      <w:pPr>
        <w:pStyle w:val="TableText"/>
        <w:rPr>
          <w:b/>
          <w:bCs/>
          <w:color w:val="0000FF" w:themeColor="accent1"/>
        </w:rPr>
      </w:pPr>
      <w:bookmarkStart w:id="121" w:name="_Hlk151379532"/>
      <w:r w:rsidRPr="005435C4">
        <w:rPr>
          <w:color w:val="A50021" w:themeColor="accent2"/>
        </w:rPr>
        <w:t xml:space="preserve">Source: </w:t>
      </w:r>
      <w:r w:rsidR="00412315">
        <w:rPr>
          <w:color w:val="A50021" w:themeColor="accent2"/>
        </w:rPr>
        <w:t>EIA</w:t>
      </w:r>
      <w:r w:rsidR="00A77051" w:rsidRPr="005435C4">
        <w:rPr>
          <w:color w:val="A50021" w:themeColor="accent2"/>
        </w:rPr>
        <w:t xml:space="preserve"> 2023</w:t>
      </w:r>
      <w:r w:rsidR="0019019B">
        <w:rPr>
          <w:color w:val="A50021" w:themeColor="accent2"/>
        </w:rPr>
        <w:t>c</w:t>
      </w:r>
      <w:r w:rsidR="005435C4" w:rsidRPr="005435C4">
        <w:rPr>
          <w:b/>
          <w:bCs/>
          <w:color w:val="A50021" w:themeColor="accent2"/>
        </w:rPr>
        <w:t xml:space="preserve"> </w:t>
      </w:r>
      <w:bookmarkEnd w:id="121"/>
      <w:r w:rsidR="005013ED" w:rsidRPr="00AC2421">
        <w:rPr>
          <w:b/>
          <w:bCs/>
          <w:color w:val="0000FF" w:themeColor="accent1"/>
          <w:szCs w:val="20"/>
        </w:rPr>
        <w:t>[End boilerplate]</w:t>
      </w:r>
      <w:r w:rsidR="005013ED" w:rsidRPr="00AC2421">
        <w:rPr>
          <w:color w:val="A50021" w:themeColor="accent2"/>
          <w:szCs w:val="20"/>
        </w:rPr>
        <w:t xml:space="preserve"> </w:t>
      </w:r>
      <w:r w:rsidR="009A42E6" w:rsidRPr="00AC2421">
        <w:rPr>
          <w:color w:val="A50021" w:themeColor="accent2"/>
          <w:szCs w:val="20"/>
          <w:vertAlign w:val="superscript"/>
        </w:rPr>
        <w:t xml:space="preserve"> </w:t>
      </w:r>
    </w:p>
    <w:p w14:paraId="77A53B70" w14:textId="77777777" w:rsidR="00C45818" w:rsidRPr="005435C4" w:rsidRDefault="00C45818" w:rsidP="00856260">
      <w:pPr>
        <w:pStyle w:val="TableText"/>
        <w:rPr>
          <w:color w:val="800080" w:themeColor="accent3"/>
        </w:rPr>
      </w:pPr>
    </w:p>
    <w:p w14:paraId="3D487E57" w14:textId="77777777" w:rsidR="0099598E" w:rsidRDefault="0099598E" w:rsidP="0099598E">
      <w:pPr>
        <w:pStyle w:val="Heading2"/>
      </w:pPr>
      <w:bookmarkStart w:id="122" w:name="_Toc150334794"/>
      <w:bookmarkStart w:id="123" w:name="_Toc157429591"/>
      <w:r>
        <w:t>Direct Energy</w:t>
      </w:r>
      <w:bookmarkEnd w:id="123"/>
      <w:r>
        <w:t xml:space="preserve"> </w:t>
      </w:r>
      <w:bookmarkEnd w:id="122"/>
    </w:p>
    <w:p w14:paraId="11B2D64B" w14:textId="77777777" w:rsidR="00E73E5E" w:rsidRDefault="00E73E5E" w:rsidP="00E73E5E">
      <w:pPr>
        <w:pStyle w:val="IntroGuidanceHeading1"/>
      </w:pPr>
      <w:r>
        <w:t>GUIDANCE</w:t>
      </w:r>
    </w:p>
    <w:p w14:paraId="442DC5C8" w14:textId="62C65010" w:rsidR="009E0F14" w:rsidRPr="009E0F14" w:rsidRDefault="009E0F14" w:rsidP="009E0F14">
      <w:pPr>
        <w:rPr>
          <w:color w:val="0000FF" w:themeColor="accent1"/>
        </w:rPr>
      </w:pPr>
      <w:r w:rsidRPr="009E0F14">
        <w:rPr>
          <w:color w:val="0000FF" w:themeColor="accent1"/>
        </w:rPr>
        <w:t xml:space="preserve">For NEPA, a quantitative direct energy analysis will only be required when an EIS is </w:t>
      </w:r>
      <w:proofErr w:type="gramStart"/>
      <w:r w:rsidRPr="009E0F14">
        <w:rPr>
          <w:color w:val="0000FF" w:themeColor="accent1"/>
        </w:rPr>
        <w:t>prepared</w:t>
      </w:r>
      <w:proofErr w:type="gramEnd"/>
      <w:r w:rsidRPr="009E0F14">
        <w:rPr>
          <w:color w:val="0000FF" w:themeColor="accent1"/>
        </w:rPr>
        <w:t xml:space="preserve"> </w:t>
      </w:r>
      <w:r w:rsidRPr="009E0F14">
        <w:rPr>
          <w:b/>
          <w:bCs/>
          <w:color w:val="0000FF" w:themeColor="accent1"/>
        </w:rPr>
        <w:t>and</w:t>
      </w:r>
      <w:r w:rsidRPr="009E0F14">
        <w:rPr>
          <w:color w:val="0000FF" w:themeColor="accent1"/>
        </w:rPr>
        <w:t xml:space="preserve"> the project is a large-scale project with potentially substantial energy impacts</w:t>
      </w:r>
      <w:r w:rsidR="00851223" w:rsidRPr="009E0F14">
        <w:rPr>
          <w:color w:val="0000FF" w:themeColor="accent1"/>
        </w:rPr>
        <w:t xml:space="preserve">.  </w:t>
      </w:r>
      <w:r w:rsidRPr="009E0F14">
        <w:rPr>
          <w:color w:val="0000FF" w:themeColor="accent1"/>
        </w:rPr>
        <w:t xml:space="preserve">For an EIS that is not a large-scale project with potentially substantial energy impacts, a qualitative or quantitative direct energy analysis is sufficient. </w:t>
      </w:r>
    </w:p>
    <w:p w14:paraId="219CB7EC" w14:textId="5D6C21B2" w:rsidR="009E0F14" w:rsidRPr="009E0F14" w:rsidRDefault="009E0F14" w:rsidP="009E0F14">
      <w:pPr>
        <w:rPr>
          <w:color w:val="0000FF" w:themeColor="accent1"/>
        </w:rPr>
      </w:pPr>
      <w:r w:rsidRPr="009E0F14">
        <w:rPr>
          <w:color w:val="0000FF" w:themeColor="accent1"/>
        </w:rPr>
        <w:t xml:space="preserve">For CEQA, a quantitative direct energy analysis is required for projects that require an EIR or IS/ND/MND </w:t>
      </w:r>
      <w:r w:rsidRPr="009E0F14">
        <w:rPr>
          <w:b/>
          <w:bCs/>
          <w:color w:val="0000FF" w:themeColor="accent1"/>
        </w:rPr>
        <w:t>and</w:t>
      </w:r>
      <w:r w:rsidRPr="009E0F14">
        <w:rPr>
          <w:color w:val="0000FF" w:themeColor="accent1"/>
        </w:rPr>
        <w:t xml:space="preserve"> relieve congestion or increase capacity</w:t>
      </w:r>
      <w:r w:rsidR="00851223" w:rsidRPr="009E0F14">
        <w:rPr>
          <w:color w:val="0000FF" w:themeColor="accent1"/>
        </w:rPr>
        <w:t xml:space="preserve">.  </w:t>
      </w:r>
      <w:r w:rsidRPr="009E0F14">
        <w:rPr>
          <w:color w:val="0000FF" w:themeColor="accent1"/>
        </w:rPr>
        <w:t>For non-capacity</w:t>
      </w:r>
      <w:r w:rsidR="007B4FB1">
        <w:rPr>
          <w:color w:val="0000FF" w:themeColor="accent1"/>
        </w:rPr>
        <w:t>-</w:t>
      </w:r>
      <w:r w:rsidRPr="009E0F14">
        <w:rPr>
          <w:color w:val="0000FF" w:themeColor="accent1"/>
        </w:rPr>
        <w:t>increasing and non-congestion</w:t>
      </w:r>
      <w:r w:rsidR="007B4FB1">
        <w:rPr>
          <w:color w:val="0000FF" w:themeColor="accent1"/>
        </w:rPr>
        <w:t>-</w:t>
      </w:r>
      <w:r w:rsidRPr="009E0F14">
        <w:rPr>
          <w:color w:val="0000FF" w:themeColor="accent1"/>
        </w:rPr>
        <w:t xml:space="preserve">relief projects that require an EIR or IS/ND/MND, a qualitative or quantitative direct energy analysis is sufficient. </w:t>
      </w:r>
    </w:p>
    <w:p w14:paraId="435F29EE" w14:textId="185592CB" w:rsidR="009E0F14" w:rsidRPr="009E0F14" w:rsidRDefault="009E0F14" w:rsidP="009E0F14">
      <w:pPr>
        <w:rPr>
          <w:color w:val="0000FF" w:themeColor="accent1"/>
        </w:rPr>
      </w:pPr>
      <w:r w:rsidRPr="009E0F14">
        <w:rPr>
          <w:color w:val="0000FF" w:themeColor="accent1"/>
        </w:rPr>
        <w:t>The scope of the energy analysis for long-term impacts should be based on the anticipated impact the project will have on energy use</w:t>
      </w:r>
      <w:r w:rsidR="00851223" w:rsidRPr="009E0F14">
        <w:rPr>
          <w:color w:val="0000FF" w:themeColor="accent1"/>
        </w:rPr>
        <w:t xml:space="preserve">.  </w:t>
      </w:r>
      <w:r w:rsidRPr="009E0F14">
        <w:rPr>
          <w:color w:val="0000FF" w:themeColor="accent1"/>
        </w:rPr>
        <w:t>The degree to which a project impacts energy is often heavily influenced by its potential to reduce congestion or increase capacity</w:t>
      </w:r>
      <w:r w:rsidR="00851223" w:rsidRPr="009E0F14">
        <w:rPr>
          <w:color w:val="0000FF" w:themeColor="accent1"/>
        </w:rPr>
        <w:t xml:space="preserve">.  </w:t>
      </w:r>
      <w:r w:rsidRPr="009E0F14">
        <w:rPr>
          <w:color w:val="0000FF" w:themeColor="accent1"/>
        </w:rPr>
        <w:t>Projects that increase capacity or reduce congestion are more likely to result in material or permeant changes to energy use when compared to non-capacity-increasing and non-congestion</w:t>
      </w:r>
      <w:r w:rsidR="00AA2772">
        <w:rPr>
          <w:color w:val="0000FF" w:themeColor="accent1"/>
        </w:rPr>
        <w:t>-</w:t>
      </w:r>
      <w:r w:rsidRPr="009E0F14">
        <w:rPr>
          <w:color w:val="0000FF" w:themeColor="accent1"/>
        </w:rPr>
        <w:t>relief projects.</w:t>
      </w:r>
    </w:p>
    <w:p w14:paraId="6B77F5B9" w14:textId="77777777" w:rsidR="009E0F14" w:rsidRPr="009E0F14" w:rsidRDefault="009E0F14" w:rsidP="009E0F14">
      <w:pPr>
        <w:rPr>
          <w:color w:val="0000FF" w:themeColor="accent1"/>
        </w:rPr>
      </w:pPr>
      <w:r w:rsidRPr="009E0F14">
        <w:rPr>
          <w:color w:val="0000FF" w:themeColor="accent1"/>
        </w:rPr>
        <w:t>Examples of congestion relief and capacity-increasing projects include the following.</w:t>
      </w:r>
    </w:p>
    <w:p w14:paraId="741AA726" w14:textId="62B6F8AB" w:rsidR="009E0F14" w:rsidRPr="009E0F14" w:rsidRDefault="009E0F14" w:rsidP="009E0F14">
      <w:pPr>
        <w:numPr>
          <w:ilvl w:val="0"/>
          <w:numId w:val="19"/>
        </w:numPr>
        <w:rPr>
          <w:color w:val="0000FF" w:themeColor="accent1"/>
        </w:rPr>
      </w:pPr>
      <w:r w:rsidRPr="009E0F14">
        <w:rPr>
          <w:color w:val="0000FF" w:themeColor="accent1"/>
        </w:rPr>
        <w:t>New Roadway or Facility: Bypass, new or extended highway, new interchange</w:t>
      </w:r>
      <w:r>
        <w:rPr>
          <w:color w:val="0000FF" w:themeColor="accent1"/>
        </w:rPr>
        <w:t>.</w:t>
      </w:r>
    </w:p>
    <w:p w14:paraId="3D8B6134" w14:textId="7396292F" w:rsidR="009E0F14" w:rsidRPr="009E0F14" w:rsidRDefault="009E0F14" w:rsidP="009E0F14">
      <w:pPr>
        <w:numPr>
          <w:ilvl w:val="0"/>
          <w:numId w:val="19"/>
        </w:numPr>
        <w:rPr>
          <w:color w:val="0000FF" w:themeColor="accent1"/>
        </w:rPr>
      </w:pPr>
      <w:r w:rsidRPr="009E0F14">
        <w:rPr>
          <w:color w:val="0000FF" w:themeColor="accent1"/>
        </w:rPr>
        <w:t xml:space="preserve">Additional Lanes: </w:t>
      </w:r>
      <w:r>
        <w:rPr>
          <w:color w:val="0000FF" w:themeColor="accent1"/>
        </w:rPr>
        <w:t>high-occupancy vehicle (HOV)</w:t>
      </w:r>
      <w:r w:rsidRPr="009E0F14">
        <w:rPr>
          <w:color w:val="0000FF" w:themeColor="accent1"/>
        </w:rPr>
        <w:t xml:space="preserve"> lanes, general purpose/mixed flow lanes, managed, express, and toll lanes</w:t>
      </w:r>
      <w:r>
        <w:rPr>
          <w:color w:val="0000FF" w:themeColor="accent1"/>
        </w:rPr>
        <w:t>.</w:t>
      </w:r>
    </w:p>
    <w:p w14:paraId="271CE03C" w14:textId="7202E19D" w:rsidR="009E0F14" w:rsidRPr="009E0F14" w:rsidRDefault="009E0F14" w:rsidP="009E0F14">
      <w:pPr>
        <w:numPr>
          <w:ilvl w:val="0"/>
          <w:numId w:val="19"/>
        </w:numPr>
        <w:rPr>
          <w:color w:val="0000FF" w:themeColor="accent1"/>
        </w:rPr>
      </w:pPr>
      <w:r w:rsidRPr="009E0F14">
        <w:rPr>
          <w:color w:val="0000FF" w:themeColor="accent1"/>
        </w:rPr>
        <w:t>Interchange Reconfiguration: ramp widening or increased through lanes on bridges</w:t>
      </w:r>
      <w:r>
        <w:rPr>
          <w:color w:val="0000FF" w:themeColor="accent1"/>
        </w:rPr>
        <w:t>.</w:t>
      </w:r>
    </w:p>
    <w:p w14:paraId="19D31732" w14:textId="206E970F" w:rsidR="009E0F14" w:rsidRPr="009E0F14" w:rsidRDefault="009E0F14" w:rsidP="009E0F14">
      <w:pPr>
        <w:numPr>
          <w:ilvl w:val="0"/>
          <w:numId w:val="19"/>
        </w:numPr>
        <w:rPr>
          <w:color w:val="0000FF" w:themeColor="accent1"/>
        </w:rPr>
      </w:pPr>
      <w:r w:rsidRPr="009E0F14">
        <w:rPr>
          <w:color w:val="0000FF" w:themeColor="accent1"/>
        </w:rPr>
        <w:lastRenderedPageBreak/>
        <w:t>Auxiliary lanes 1 mile or more in length</w:t>
      </w:r>
      <w:r>
        <w:rPr>
          <w:color w:val="0000FF" w:themeColor="accent1"/>
        </w:rPr>
        <w:t>.</w:t>
      </w:r>
    </w:p>
    <w:p w14:paraId="522D91E2" w14:textId="25ED2328" w:rsidR="009E0F14" w:rsidRPr="009E0F14" w:rsidRDefault="009E0F14" w:rsidP="009E0F14">
      <w:pPr>
        <w:rPr>
          <w:color w:val="0000FF" w:themeColor="accent1"/>
        </w:rPr>
      </w:pPr>
      <w:r w:rsidRPr="009E0F14">
        <w:rPr>
          <w:color w:val="0000FF" w:themeColor="accent1"/>
        </w:rPr>
        <w:t>Examples of non-congestion</w:t>
      </w:r>
      <w:r w:rsidR="00AA2772">
        <w:rPr>
          <w:color w:val="0000FF" w:themeColor="accent1"/>
        </w:rPr>
        <w:t>-</w:t>
      </w:r>
      <w:r w:rsidRPr="009E0F14">
        <w:rPr>
          <w:color w:val="0000FF" w:themeColor="accent1"/>
        </w:rPr>
        <w:t>relief and non-capacity-increasing projects include the following.</w:t>
      </w:r>
    </w:p>
    <w:p w14:paraId="39427833" w14:textId="4DA5D33F" w:rsidR="009E0F14" w:rsidRPr="009E0F14" w:rsidRDefault="009E0F14" w:rsidP="009E0F14">
      <w:pPr>
        <w:numPr>
          <w:ilvl w:val="0"/>
          <w:numId w:val="19"/>
        </w:numPr>
        <w:rPr>
          <w:color w:val="0000FF" w:themeColor="accent1"/>
        </w:rPr>
      </w:pPr>
      <w:r w:rsidRPr="009E0F14">
        <w:rPr>
          <w:color w:val="0000FF" w:themeColor="accent1"/>
        </w:rPr>
        <w:t>Ramp metering or signalization</w:t>
      </w:r>
      <w:r>
        <w:rPr>
          <w:color w:val="0000FF" w:themeColor="accent1"/>
        </w:rPr>
        <w:t>.</w:t>
      </w:r>
      <w:r w:rsidRPr="009E0F14">
        <w:rPr>
          <w:color w:val="0000FF" w:themeColor="accent1"/>
        </w:rPr>
        <w:t xml:space="preserve"> </w:t>
      </w:r>
    </w:p>
    <w:p w14:paraId="460A01FC" w14:textId="6DA5E596" w:rsidR="009E0F14" w:rsidRPr="009E0F14" w:rsidRDefault="009E0F14" w:rsidP="009E0F14">
      <w:pPr>
        <w:numPr>
          <w:ilvl w:val="0"/>
          <w:numId w:val="19"/>
        </w:numPr>
        <w:rPr>
          <w:color w:val="0000FF" w:themeColor="accent1"/>
        </w:rPr>
      </w:pPr>
      <w:r w:rsidRPr="009E0F14">
        <w:rPr>
          <w:color w:val="0000FF" w:themeColor="accent1"/>
        </w:rPr>
        <w:t>Auxiliary lanes less than 1 mile in length and independent from other auxiliary lanes</w:t>
      </w:r>
      <w:r>
        <w:rPr>
          <w:color w:val="0000FF" w:themeColor="accent1"/>
        </w:rPr>
        <w:t>.</w:t>
      </w:r>
    </w:p>
    <w:p w14:paraId="08FB0900" w14:textId="10659332" w:rsidR="009E0F14" w:rsidRPr="009E0F14" w:rsidRDefault="009E0F14" w:rsidP="009E0F14">
      <w:pPr>
        <w:numPr>
          <w:ilvl w:val="0"/>
          <w:numId w:val="19"/>
        </w:numPr>
        <w:rPr>
          <w:color w:val="0000FF" w:themeColor="accent1"/>
        </w:rPr>
      </w:pPr>
      <w:r w:rsidRPr="009E0F14">
        <w:rPr>
          <w:color w:val="0000FF" w:themeColor="accent1"/>
        </w:rPr>
        <w:t>Increase shoulder width</w:t>
      </w:r>
      <w:r>
        <w:rPr>
          <w:color w:val="0000FF" w:themeColor="accent1"/>
        </w:rPr>
        <w:t>.</w:t>
      </w:r>
    </w:p>
    <w:p w14:paraId="2195006C" w14:textId="23CCA7A1" w:rsidR="009E0F14" w:rsidRPr="009E0F14" w:rsidRDefault="009E0F14" w:rsidP="009E0F14">
      <w:pPr>
        <w:numPr>
          <w:ilvl w:val="0"/>
          <w:numId w:val="19"/>
        </w:numPr>
        <w:rPr>
          <w:color w:val="0000FF" w:themeColor="accent1"/>
        </w:rPr>
      </w:pPr>
      <w:r w:rsidRPr="009E0F14">
        <w:rPr>
          <w:color w:val="0000FF" w:themeColor="accent1"/>
        </w:rPr>
        <w:t>Pavement rehabilitation</w:t>
      </w:r>
      <w:r>
        <w:rPr>
          <w:color w:val="0000FF" w:themeColor="accent1"/>
        </w:rPr>
        <w:t>.</w:t>
      </w:r>
    </w:p>
    <w:p w14:paraId="14D3A968" w14:textId="74C69D46" w:rsidR="00E73E5E" w:rsidRPr="002A7789" w:rsidRDefault="009E0F14" w:rsidP="009E0F14">
      <w:pPr>
        <w:rPr>
          <w:color w:val="0000FF" w:themeColor="accent1"/>
        </w:rPr>
      </w:pPr>
      <w:r w:rsidRPr="009E0F14">
        <w:rPr>
          <w:color w:val="0000FF" w:themeColor="accent1"/>
        </w:rPr>
        <w:t xml:space="preserve">Refer to the </w:t>
      </w:r>
      <w:hyperlink r:id="rId35" w:anchor="energy-analysis" w:tgtFrame="_blank" w:history="1">
        <w:r w:rsidRPr="00FD2C14">
          <w:rPr>
            <w:rStyle w:val="Hyperlink"/>
          </w:rPr>
          <w:t>Energy Analysis Report De</w:t>
        </w:r>
        <w:r w:rsidRPr="00FD2C14">
          <w:rPr>
            <w:rStyle w:val="Hyperlink"/>
          </w:rPr>
          <w:t>c</w:t>
        </w:r>
        <w:r w:rsidRPr="00FD2C14">
          <w:rPr>
            <w:rStyle w:val="Hyperlink"/>
          </w:rPr>
          <w:t>ision Tree</w:t>
        </w:r>
      </w:hyperlink>
      <w:r w:rsidRPr="009E0F14">
        <w:rPr>
          <w:color w:val="0000FF" w:themeColor="accent1"/>
          <w:u w:val="single"/>
        </w:rPr>
        <w:t xml:space="preserve"> </w:t>
      </w:r>
      <w:r w:rsidRPr="009E0F14">
        <w:rPr>
          <w:color w:val="0000FF" w:themeColor="accent1"/>
        </w:rPr>
        <w:t>for additional information</w:t>
      </w:r>
      <w:r w:rsidR="00E73E5E" w:rsidRPr="006375A4">
        <w:rPr>
          <w:color w:val="0000FF" w:themeColor="accent1"/>
        </w:rPr>
        <w:t xml:space="preserve">. </w:t>
      </w:r>
    </w:p>
    <w:p w14:paraId="137CB773" w14:textId="3F095895" w:rsidR="00792E8A" w:rsidRDefault="00792E8A" w:rsidP="00792E8A">
      <w:pPr>
        <w:pStyle w:val="IntroGuidanceHeading1"/>
      </w:pPr>
      <w:r>
        <w:t>GUIDANCE FOR QUALITATIVE ANALYSIS</w:t>
      </w:r>
    </w:p>
    <w:p w14:paraId="5D2026CA" w14:textId="2EB87E7C" w:rsidR="00514C95" w:rsidRPr="00514C95" w:rsidRDefault="00514C95" w:rsidP="00514C95">
      <w:pPr>
        <w:rPr>
          <w:color w:val="0000FF" w:themeColor="accent1"/>
        </w:rPr>
      </w:pPr>
      <w:r w:rsidRPr="00514C95">
        <w:rPr>
          <w:color w:val="0000FF" w:themeColor="accent1"/>
        </w:rPr>
        <w:t>Non-capacity</w:t>
      </w:r>
      <w:r w:rsidR="00AA2772">
        <w:rPr>
          <w:color w:val="0000FF" w:themeColor="accent1"/>
        </w:rPr>
        <w:t>-</w:t>
      </w:r>
      <w:r w:rsidRPr="00514C95">
        <w:rPr>
          <w:color w:val="0000FF" w:themeColor="accent1"/>
        </w:rPr>
        <w:t>increasing and non-congestion</w:t>
      </w:r>
      <w:r w:rsidR="00AA2772">
        <w:rPr>
          <w:color w:val="0000FF" w:themeColor="accent1"/>
        </w:rPr>
        <w:t>-</w:t>
      </w:r>
      <w:r w:rsidRPr="00514C95">
        <w:rPr>
          <w:color w:val="0000FF" w:themeColor="accent1"/>
        </w:rPr>
        <w:t>relief projects are</w:t>
      </w:r>
      <w:r w:rsidRPr="00514C95" w:rsidDel="006667DF">
        <w:rPr>
          <w:color w:val="0000FF" w:themeColor="accent1"/>
        </w:rPr>
        <w:t xml:space="preserve"> likely</w:t>
      </w:r>
      <w:r w:rsidRPr="00514C95">
        <w:rPr>
          <w:color w:val="0000FF" w:themeColor="accent1"/>
        </w:rPr>
        <w:t xml:space="preserve"> to</w:t>
      </w:r>
      <w:r w:rsidRPr="00514C95" w:rsidDel="006667DF">
        <w:rPr>
          <w:color w:val="0000FF" w:themeColor="accent1"/>
        </w:rPr>
        <w:t xml:space="preserve"> have</w:t>
      </w:r>
      <w:r w:rsidRPr="00514C95">
        <w:rPr>
          <w:color w:val="0000FF" w:themeColor="accent1"/>
        </w:rPr>
        <w:t xml:space="preserve"> a</w:t>
      </w:r>
      <w:r w:rsidRPr="00514C95" w:rsidDel="006667DF">
        <w:rPr>
          <w:color w:val="0000FF" w:themeColor="accent1"/>
        </w:rPr>
        <w:t xml:space="preserve"> low</w:t>
      </w:r>
      <w:r w:rsidRPr="00514C95">
        <w:rPr>
          <w:color w:val="0000FF" w:themeColor="accent1"/>
        </w:rPr>
        <w:t xml:space="preserve"> potential</w:t>
      </w:r>
      <w:r w:rsidRPr="00514C95" w:rsidDel="006667DF">
        <w:rPr>
          <w:color w:val="0000FF" w:themeColor="accent1"/>
        </w:rPr>
        <w:t xml:space="preserve"> </w:t>
      </w:r>
      <w:r w:rsidRPr="00514C95">
        <w:rPr>
          <w:color w:val="0000FF" w:themeColor="accent1"/>
        </w:rPr>
        <w:t xml:space="preserve">or beneficial impact on </w:t>
      </w:r>
      <w:r w:rsidRPr="00514C95" w:rsidDel="006667DF">
        <w:rPr>
          <w:color w:val="0000FF" w:themeColor="accent1"/>
        </w:rPr>
        <w:t xml:space="preserve">direct energy. </w:t>
      </w:r>
      <w:r>
        <w:rPr>
          <w:color w:val="0000FF" w:themeColor="accent1"/>
        </w:rPr>
        <w:t xml:space="preserve"> </w:t>
      </w:r>
      <w:r w:rsidRPr="00514C95">
        <w:rPr>
          <w:color w:val="0000FF" w:themeColor="accent1"/>
        </w:rPr>
        <w:t xml:space="preserve">For example, a pavement project may result in smoother pavement surfaces, which would improve vehicle operations and reduce direct energy consumption.  TMS infrastructure can improve traffic flow without increasing the capacity of the highway.  </w:t>
      </w:r>
    </w:p>
    <w:p w14:paraId="357D0C51" w14:textId="0544C059" w:rsidR="00514C95" w:rsidRPr="00514C95" w:rsidRDefault="00514C95" w:rsidP="00514C95">
      <w:pPr>
        <w:rPr>
          <w:color w:val="0000FF" w:themeColor="accent1"/>
        </w:rPr>
      </w:pPr>
      <w:r w:rsidRPr="00514C95">
        <w:rPr>
          <w:color w:val="0000FF" w:themeColor="accent1"/>
        </w:rPr>
        <w:t xml:space="preserve">Complete </w:t>
      </w:r>
      <w:r w:rsidRPr="00514C95" w:rsidDel="006667DF">
        <w:rPr>
          <w:color w:val="0000FF" w:themeColor="accent1"/>
        </w:rPr>
        <w:t>a qualitative discussion</w:t>
      </w:r>
      <w:r w:rsidRPr="00514C95">
        <w:rPr>
          <w:color w:val="0000FF" w:themeColor="accent1"/>
        </w:rPr>
        <w:t xml:space="preserve"> of direct energy for non-capacity</w:t>
      </w:r>
      <w:r w:rsidR="00AA2772">
        <w:rPr>
          <w:color w:val="0000FF" w:themeColor="accent1"/>
        </w:rPr>
        <w:t>-</w:t>
      </w:r>
      <w:r w:rsidRPr="00514C95">
        <w:rPr>
          <w:color w:val="0000FF" w:themeColor="accent1"/>
        </w:rPr>
        <w:t>increasing and non-congestion</w:t>
      </w:r>
      <w:r w:rsidR="00AA2772">
        <w:rPr>
          <w:color w:val="0000FF" w:themeColor="accent1"/>
        </w:rPr>
        <w:t>-</w:t>
      </w:r>
      <w:r w:rsidRPr="00514C95">
        <w:rPr>
          <w:color w:val="0000FF" w:themeColor="accent1"/>
        </w:rPr>
        <w:t>relief projects, considering and including the following, as applicable and as data are available:</w:t>
      </w:r>
    </w:p>
    <w:p w14:paraId="194E5FB6" w14:textId="77777777" w:rsidR="00514C95" w:rsidRPr="00514C95" w:rsidRDefault="00514C95" w:rsidP="00514C95">
      <w:pPr>
        <w:numPr>
          <w:ilvl w:val="0"/>
          <w:numId w:val="20"/>
        </w:numPr>
        <w:rPr>
          <w:color w:val="0000FF" w:themeColor="accent1"/>
        </w:rPr>
      </w:pPr>
      <w:r w:rsidRPr="00514C95">
        <w:rPr>
          <w:color w:val="0000FF" w:themeColor="accent1"/>
        </w:rPr>
        <w:t xml:space="preserve">Compare vehicle delay, </w:t>
      </w:r>
      <w:r w:rsidRPr="003E7E94">
        <w:rPr>
          <w:color w:val="0000FF" w:themeColor="accent1"/>
        </w:rPr>
        <w:t>level-of-service</w:t>
      </w:r>
      <w:r w:rsidRPr="00514C95">
        <w:rPr>
          <w:color w:val="0000FF" w:themeColor="accent1"/>
        </w:rPr>
        <w:t xml:space="preserve">, volume-to-capacity ratios, and idling time among the alternatives to qualitatively assess how efficiently vehicles would travel through the transportation system. </w:t>
      </w:r>
    </w:p>
    <w:p w14:paraId="6EBA8C40" w14:textId="3993CF81" w:rsidR="00514C95" w:rsidRPr="00514C95" w:rsidRDefault="00514C95" w:rsidP="00514C95">
      <w:pPr>
        <w:numPr>
          <w:ilvl w:val="0"/>
          <w:numId w:val="20"/>
        </w:numPr>
        <w:rPr>
          <w:color w:val="0000FF" w:themeColor="accent1"/>
        </w:rPr>
      </w:pPr>
      <w:r w:rsidRPr="00514C95">
        <w:rPr>
          <w:color w:val="0000FF" w:themeColor="accent1"/>
        </w:rPr>
        <w:t>Compare average vehicle speeds among the alternatives</w:t>
      </w:r>
      <w:r w:rsidR="00851223" w:rsidRPr="00514C95">
        <w:rPr>
          <w:color w:val="0000FF" w:themeColor="accent1"/>
        </w:rPr>
        <w:t xml:space="preserve">.  </w:t>
      </w:r>
      <w:r w:rsidRPr="00514C95">
        <w:rPr>
          <w:color w:val="0000FF" w:themeColor="accent1"/>
        </w:rPr>
        <w:t>Projects that improve traffic flow during peak travel demand periods or reduce stop-and-go conditions would improve vehicle fuel economy and thus reduce direct energy.</w:t>
      </w:r>
    </w:p>
    <w:p w14:paraId="05A369DE" w14:textId="77777777" w:rsidR="00514C95" w:rsidRPr="00514C95" w:rsidRDefault="00514C95" w:rsidP="00514C95">
      <w:pPr>
        <w:numPr>
          <w:ilvl w:val="0"/>
          <w:numId w:val="20"/>
        </w:numPr>
        <w:rPr>
          <w:color w:val="0000FF" w:themeColor="accent1"/>
        </w:rPr>
      </w:pPr>
      <w:r w:rsidRPr="00514C95">
        <w:rPr>
          <w:color w:val="0000FF" w:themeColor="accent1"/>
        </w:rPr>
        <w:t xml:space="preserve">Discuss the impact of newer and more fuel-efficient vehicles that will enter the future vehicle fleet. </w:t>
      </w:r>
    </w:p>
    <w:p w14:paraId="7417BDFC" w14:textId="6FB367CC" w:rsidR="00514C95" w:rsidRPr="00514C95" w:rsidRDefault="00514C95" w:rsidP="00514C95">
      <w:pPr>
        <w:numPr>
          <w:ilvl w:val="0"/>
          <w:numId w:val="20"/>
        </w:numPr>
        <w:rPr>
          <w:color w:val="0000FF" w:themeColor="accent1"/>
        </w:rPr>
      </w:pPr>
      <w:r w:rsidRPr="00514C95">
        <w:rPr>
          <w:color w:val="0000FF" w:themeColor="accent1"/>
        </w:rPr>
        <w:t>Discuss</w:t>
      </w:r>
      <w:r w:rsidR="006B3F76">
        <w:rPr>
          <w:color w:val="0000FF" w:themeColor="accent1"/>
        </w:rPr>
        <w:t xml:space="preserve"> any</w:t>
      </w:r>
      <w:r w:rsidRPr="00514C95">
        <w:rPr>
          <w:color w:val="0000FF" w:themeColor="accent1"/>
        </w:rPr>
        <w:t xml:space="preserve"> project elements that would reduce VMT and associated direct energy, such as transit improvements or providing facilities for pedestrians and bicyclists.</w:t>
      </w:r>
    </w:p>
    <w:p w14:paraId="3A16A488" w14:textId="4C8C560E" w:rsidR="00E73E5E" w:rsidRPr="00514C95" w:rsidRDefault="00514C95" w:rsidP="00514C95">
      <w:pPr>
        <w:numPr>
          <w:ilvl w:val="0"/>
          <w:numId w:val="20"/>
        </w:numPr>
        <w:rPr>
          <w:color w:val="0000FF" w:themeColor="accent1"/>
        </w:rPr>
      </w:pPr>
      <w:r w:rsidRPr="00514C95">
        <w:rPr>
          <w:color w:val="0000FF" w:themeColor="accent1"/>
        </w:rPr>
        <w:t xml:space="preserve">Discuss </w:t>
      </w:r>
      <w:r w:rsidR="006B3F76">
        <w:rPr>
          <w:color w:val="0000FF" w:themeColor="accent1"/>
        </w:rPr>
        <w:t xml:space="preserve">any </w:t>
      </w:r>
      <w:r w:rsidRPr="00514C95">
        <w:rPr>
          <w:color w:val="0000FF" w:themeColor="accent1"/>
        </w:rPr>
        <w:t>project elements that directly support the use of electric vehicles, such as the installation of charging stations.</w:t>
      </w:r>
    </w:p>
    <w:p w14:paraId="60B47A23" w14:textId="77777777" w:rsidR="00F56C3C" w:rsidRPr="00F56C3C" w:rsidRDefault="00F56C3C" w:rsidP="009D25E5">
      <w:pPr>
        <w:rPr>
          <w:color w:val="800080" w:themeColor="accent3"/>
        </w:rPr>
      </w:pPr>
      <w:bookmarkStart w:id="124" w:name="_Hlk149033059"/>
      <w:bookmarkStart w:id="125" w:name="_Hlk149032967"/>
      <w:r w:rsidRPr="009D25E5">
        <w:rPr>
          <w:color w:val="0000FF" w:themeColor="accent1"/>
        </w:rPr>
        <w:t>The following is an example analysis.</w:t>
      </w:r>
      <w:r w:rsidRPr="00F56C3C" w:rsidDel="007C79D3">
        <w:rPr>
          <w:color w:val="800080" w:themeColor="accent3"/>
        </w:rPr>
        <w:t xml:space="preserve"> </w:t>
      </w:r>
    </w:p>
    <w:p w14:paraId="0DC04296" w14:textId="1F59FC62" w:rsidR="006B3F76" w:rsidRDefault="007C79D3" w:rsidP="0023013B">
      <w:pPr>
        <w:rPr>
          <w:color w:val="800080" w:themeColor="accent3"/>
        </w:rPr>
      </w:pPr>
      <w:r>
        <w:rPr>
          <w:color w:val="800080" w:themeColor="accent3"/>
        </w:rPr>
        <w:lastRenderedPageBreak/>
        <w:t xml:space="preserve">Neither </w:t>
      </w:r>
      <w:r w:rsidR="005B50EE">
        <w:rPr>
          <w:color w:val="800080" w:themeColor="accent3"/>
        </w:rPr>
        <w:t>b</w:t>
      </w:r>
      <w:r>
        <w:rPr>
          <w:color w:val="800080" w:themeColor="accent3"/>
        </w:rPr>
        <w:t xml:space="preserve">uild </w:t>
      </w:r>
      <w:r w:rsidR="005B50EE">
        <w:rPr>
          <w:color w:val="800080" w:themeColor="accent3"/>
        </w:rPr>
        <w:t>a</w:t>
      </w:r>
      <w:r>
        <w:rPr>
          <w:color w:val="800080" w:themeColor="accent3"/>
        </w:rPr>
        <w:t>lternative</w:t>
      </w:r>
      <w:r w:rsidR="006B3F76" w:rsidRPr="006B3F76">
        <w:rPr>
          <w:color w:val="800080" w:themeColor="accent3"/>
        </w:rPr>
        <w:t xml:space="preserve"> would increase the capacity of the </w:t>
      </w:r>
      <w:r w:rsidR="006B3F76">
        <w:rPr>
          <w:color w:val="800080" w:themeColor="accent3"/>
        </w:rPr>
        <w:t>transportation facility</w:t>
      </w:r>
      <w:r w:rsidR="006B3F76" w:rsidRPr="006B3F76">
        <w:rPr>
          <w:color w:val="800080" w:themeColor="accent3"/>
        </w:rPr>
        <w:t xml:space="preserve"> or </w:t>
      </w:r>
      <w:r w:rsidR="006B3F76">
        <w:rPr>
          <w:color w:val="800080" w:themeColor="accent3"/>
        </w:rPr>
        <w:t>materially change vehicle speeds</w:t>
      </w:r>
      <w:r w:rsidR="00851223" w:rsidRPr="006B3F76">
        <w:rPr>
          <w:color w:val="800080" w:themeColor="accent3"/>
        </w:rPr>
        <w:t xml:space="preserve">.  </w:t>
      </w:r>
      <w:r w:rsidR="005B50EE">
        <w:rPr>
          <w:color w:val="800080" w:themeColor="accent3"/>
        </w:rPr>
        <w:t>Both alternatives</w:t>
      </w:r>
      <w:r w:rsidR="006B3F76">
        <w:rPr>
          <w:color w:val="800080" w:themeColor="accent3"/>
        </w:rPr>
        <w:t xml:space="preserve"> would expand e</w:t>
      </w:r>
      <w:r w:rsidR="006B3F76" w:rsidRPr="006B3F76">
        <w:rPr>
          <w:color w:val="800080" w:themeColor="accent3"/>
        </w:rPr>
        <w:t>xisting bicycle and pedestrian networks within the project footprint</w:t>
      </w:r>
      <w:r w:rsidR="00851223" w:rsidRPr="006B3F76">
        <w:rPr>
          <w:color w:val="800080" w:themeColor="accent3"/>
        </w:rPr>
        <w:t xml:space="preserve">.  </w:t>
      </w:r>
      <w:r w:rsidR="006B3F76" w:rsidRPr="006B3F76">
        <w:rPr>
          <w:color w:val="800080" w:themeColor="accent3"/>
        </w:rPr>
        <w:t xml:space="preserve">New </w:t>
      </w:r>
      <w:r w:rsidR="000374AC" w:rsidRPr="000374AC">
        <w:rPr>
          <w:color w:val="800080" w:themeColor="accent3"/>
        </w:rPr>
        <w:t xml:space="preserve">bike lanes </w:t>
      </w:r>
      <w:r w:rsidR="006B3F76" w:rsidRPr="006B3F76">
        <w:rPr>
          <w:color w:val="800080" w:themeColor="accent3"/>
        </w:rPr>
        <w:t xml:space="preserve">would be constructed to improve connections within neighborhoods and </w:t>
      </w:r>
      <w:r w:rsidR="006B3F76">
        <w:rPr>
          <w:color w:val="800080" w:themeColor="accent3"/>
        </w:rPr>
        <w:t xml:space="preserve">to </w:t>
      </w:r>
      <w:r w:rsidR="006B3F76" w:rsidRPr="006B3F76">
        <w:rPr>
          <w:color w:val="800080" w:themeColor="accent3"/>
        </w:rPr>
        <w:t>the Central Business District</w:t>
      </w:r>
      <w:r w:rsidR="00851223" w:rsidRPr="006B3F76">
        <w:rPr>
          <w:color w:val="800080" w:themeColor="accent3"/>
        </w:rPr>
        <w:t xml:space="preserve">.  </w:t>
      </w:r>
      <w:r w:rsidR="006B3F76" w:rsidRPr="006B3F76">
        <w:rPr>
          <w:color w:val="800080" w:themeColor="accent3"/>
        </w:rPr>
        <w:t xml:space="preserve">Pedestrian facilities would also be upgraded, and new sidewalks would be installed to close existing gaps and meet </w:t>
      </w:r>
      <w:r w:rsidR="006B3F76" w:rsidRPr="007C79D3">
        <w:rPr>
          <w:color w:val="800080" w:themeColor="accent3"/>
        </w:rPr>
        <w:t>ADA</w:t>
      </w:r>
      <w:r w:rsidR="006B3F76" w:rsidRPr="006B3F76">
        <w:rPr>
          <w:color w:val="800080" w:themeColor="accent3"/>
        </w:rPr>
        <w:t xml:space="preserve"> compliance standards</w:t>
      </w:r>
      <w:r w:rsidR="00851223" w:rsidRPr="006B3F76">
        <w:rPr>
          <w:color w:val="800080" w:themeColor="accent3"/>
        </w:rPr>
        <w:t xml:space="preserve">.  </w:t>
      </w:r>
      <w:r w:rsidR="006B3F76" w:rsidRPr="006B3F76">
        <w:rPr>
          <w:color w:val="800080" w:themeColor="accent3"/>
        </w:rPr>
        <w:t>Improvements to bicycle and pedestrian networks encourage walking and bicycling within the project footprint</w:t>
      </w:r>
      <w:r w:rsidR="00851223" w:rsidRPr="006B3F76">
        <w:rPr>
          <w:color w:val="800080" w:themeColor="accent3"/>
        </w:rPr>
        <w:t xml:space="preserve">.  </w:t>
      </w:r>
      <w:r w:rsidR="006B3F76" w:rsidRPr="006B3F76">
        <w:rPr>
          <w:color w:val="800080" w:themeColor="accent3"/>
        </w:rPr>
        <w:t>Increased walking and biking would help reduce local automobile traffic, support mode shift, and reduce direct energy consumption</w:t>
      </w:r>
      <w:r w:rsidR="007B0D53">
        <w:rPr>
          <w:color w:val="800080" w:themeColor="accent3"/>
        </w:rPr>
        <w:t xml:space="preserve"> compared to the No-Build Alternative</w:t>
      </w:r>
      <w:r w:rsidR="006B3F76" w:rsidRPr="006B3F76">
        <w:rPr>
          <w:color w:val="800080" w:themeColor="accent3"/>
        </w:rPr>
        <w:t xml:space="preserve">.  </w:t>
      </w:r>
      <w:r w:rsidR="001434C0">
        <w:rPr>
          <w:color w:val="800080" w:themeColor="accent3"/>
        </w:rPr>
        <w:t xml:space="preserve"> </w:t>
      </w:r>
      <w:r w:rsidR="006B3F76">
        <w:rPr>
          <w:color w:val="800080" w:themeColor="accent3"/>
        </w:rPr>
        <w:t>T</w:t>
      </w:r>
      <w:r w:rsidR="006B3F76" w:rsidRPr="006B3F76">
        <w:rPr>
          <w:color w:val="800080" w:themeColor="accent3"/>
        </w:rPr>
        <w:t xml:space="preserve">hree traffic signals would be installed under </w:t>
      </w:r>
      <w:r w:rsidR="006B3F76">
        <w:rPr>
          <w:color w:val="800080" w:themeColor="accent3"/>
        </w:rPr>
        <w:t>the project</w:t>
      </w:r>
      <w:r w:rsidR="00851223" w:rsidRPr="006B3F76">
        <w:rPr>
          <w:color w:val="800080" w:themeColor="accent3"/>
        </w:rPr>
        <w:t xml:space="preserve">.  </w:t>
      </w:r>
      <w:r w:rsidR="006B3F76" w:rsidRPr="006B3F76">
        <w:rPr>
          <w:color w:val="800080" w:themeColor="accent3"/>
        </w:rPr>
        <w:t xml:space="preserve">These signals would be coordinated to promote the efficient flow of traffic, resulting </w:t>
      </w:r>
      <w:r w:rsidR="007B0D53" w:rsidRPr="006B3F76">
        <w:rPr>
          <w:color w:val="800080" w:themeColor="accent3"/>
        </w:rPr>
        <w:t xml:space="preserve">in a more efficient use of </w:t>
      </w:r>
      <w:r w:rsidR="007B0D53">
        <w:rPr>
          <w:color w:val="800080" w:themeColor="accent3"/>
        </w:rPr>
        <w:t xml:space="preserve">direct </w:t>
      </w:r>
      <w:r w:rsidR="007B0D53" w:rsidRPr="006B3F76">
        <w:rPr>
          <w:color w:val="800080" w:themeColor="accent3"/>
        </w:rPr>
        <w:t>energy</w:t>
      </w:r>
      <w:r w:rsidR="007B0D53">
        <w:rPr>
          <w:color w:val="800080" w:themeColor="accent3"/>
        </w:rPr>
        <w:t>, relative to the No-Build Alternative</w:t>
      </w:r>
      <w:r w:rsidR="006B3F76">
        <w:rPr>
          <w:color w:val="800080" w:themeColor="accent3"/>
        </w:rPr>
        <w:t xml:space="preserve">. </w:t>
      </w:r>
    </w:p>
    <w:p w14:paraId="5754F301" w14:textId="768C520A" w:rsidR="006B3F76" w:rsidRDefault="006B3F76" w:rsidP="0023013B">
      <w:pPr>
        <w:rPr>
          <w:color w:val="800080" w:themeColor="accent3"/>
        </w:rPr>
      </w:pPr>
      <w:r w:rsidRPr="006B3F76">
        <w:rPr>
          <w:color w:val="800080" w:themeColor="accent3"/>
        </w:rPr>
        <w:t>Compared to existing (202</w:t>
      </w:r>
      <w:r w:rsidR="00D57526">
        <w:rPr>
          <w:color w:val="800080" w:themeColor="accent3"/>
        </w:rPr>
        <w:t>3</w:t>
      </w:r>
      <w:r w:rsidRPr="006B3F76">
        <w:rPr>
          <w:color w:val="800080" w:themeColor="accent3"/>
        </w:rPr>
        <w:t xml:space="preserve">) conditions, </w:t>
      </w:r>
      <w:r>
        <w:rPr>
          <w:color w:val="800080" w:themeColor="accent3"/>
        </w:rPr>
        <w:t xml:space="preserve">direct energy consumption in the project area </w:t>
      </w:r>
      <w:r w:rsidR="007B0D53">
        <w:rPr>
          <w:color w:val="800080" w:themeColor="accent3"/>
        </w:rPr>
        <w:t xml:space="preserve">under opening (2025) and design (2045) year conditions </w:t>
      </w:r>
      <w:r>
        <w:rPr>
          <w:color w:val="800080" w:themeColor="accent3"/>
        </w:rPr>
        <w:t xml:space="preserve">is expected to increase </w:t>
      </w:r>
      <w:r w:rsidR="007B0D53">
        <w:rPr>
          <w:color w:val="800080" w:themeColor="accent3"/>
        </w:rPr>
        <w:t>with or without the project</w:t>
      </w:r>
      <w:r w:rsidR="00851223">
        <w:rPr>
          <w:color w:val="800080" w:themeColor="accent3"/>
        </w:rPr>
        <w:t xml:space="preserve">.  </w:t>
      </w:r>
      <w:r w:rsidR="007B0D53">
        <w:rPr>
          <w:color w:val="800080" w:themeColor="accent3"/>
        </w:rPr>
        <w:t xml:space="preserve">This is due to </w:t>
      </w:r>
      <w:r w:rsidR="007B0D53" w:rsidRPr="006B3F76">
        <w:rPr>
          <w:color w:val="800080" w:themeColor="accent3"/>
        </w:rPr>
        <w:t>background growth</w:t>
      </w:r>
      <w:r w:rsidR="007B0D53">
        <w:rPr>
          <w:color w:val="800080" w:themeColor="accent3"/>
        </w:rPr>
        <w:t xml:space="preserve"> in regional VMT, which is </w:t>
      </w:r>
      <w:r w:rsidR="007B0D53" w:rsidRPr="006B3F76">
        <w:rPr>
          <w:color w:val="800080" w:themeColor="accent3"/>
        </w:rPr>
        <w:t>external to the project</w:t>
      </w:r>
      <w:r w:rsidR="007B0D53">
        <w:rPr>
          <w:color w:val="800080" w:themeColor="accent3"/>
        </w:rPr>
        <w:t xml:space="preserve">.  While </w:t>
      </w:r>
      <w:r w:rsidR="007B0D53" w:rsidRPr="006B3F76">
        <w:rPr>
          <w:color w:val="800080" w:themeColor="accent3"/>
        </w:rPr>
        <w:t xml:space="preserve">direct energy </w:t>
      </w:r>
      <w:r w:rsidR="007B0D53">
        <w:rPr>
          <w:color w:val="800080" w:themeColor="accent3"/>
        </w:rPr>
        <w:t>in the project a</w:t>
      </w:r>
      <w:r w:rsidR="00F15BE1">
        <w:rPr>
          <w:color w:val="800080" w:themeColor="accent3"/>
        </w:rPr>
        <w:t>r</w:t>
      </w:r>
      <w:r w:rsidR="007B0D53">
        <w:rPr>
          <w:color w:val="800080" w:themeColor="accent3"/>
        </w:rPr>
        <w:t xml:space="preserve">ea </w:t>
      </w:r>
      <w:r w:rsidR="007B0D53" w:rsidRPr="006B3F76">
        <w:rPr>
          <w:color w:val="800080" w:themeColor="accent3"/>
        </w:rPr>
        <w:t xml:space="preserve">is </w:t>
      </w:r>
      <w:r w:rsidR="007B0D53">
        <w:rPr>
          <w:color w:val="800080" w:themeColor="accent3"/>
        </w:rPr>
        <w:t>likely</w:t>
      </w:r>
      <w:r w:rsidR="007B0D53" w:rsidRPr="006B3F76">
        <w:rPr>
          <w:color w:val="800080" w:themeColor="accent3"/>
        </w:rPr>
        <w:t xml:space="preserve"> to increase in </w:t>
      </w:r>
      <w:r w:rsidR="007B0D53">
        <w:rPr>
          <w:color w:val="800080" w:themeColor="accent3"/>
        </w:rPr>
        <w:t>the</w:t>
      </w:r>
      <w:r w:rsidR="007B0D53" w:rsidRPr="006B3F76">
        <w:rPr>
          <w:color w:val="800080" w:themeColor="accent3"/>
        </w:rPr>
        <w:t xml:space="preserve"> future</w:t>
      </w:r>
      <w:r w:rsidR="007B0D53">
        <w:rPr>
          <w:color w:val="800080" w:themeColor="accent3"/>
        </w:rPr>
        <w:t xml:space="preserve">, </w:t>
      </w:r>
      <w:r w:rsidR="007B0D53" w:rsidRPr="006B3F76">
        <w:rPr>
          <w:color w:val="800080" w:themeColor="accent3"/>
        </w:rPr>
        <w:t xml:space="preserve">the amount of increase is </w:t>
      </w:r>
      <w:r w:rsidR="007B0D53">
        <w:rPr>
          <w:color w:val="800080" w:themeColor="accent3"/>
        </w:rPr>
        <w:t>expected to be less than the rate of VMT growth</w:t>
      </w:r>
      <w:r w:rsidR="00851223">
        <w:rPr>
          <w:color w:val="800080" w:themeColor="accent3"/>
        </w:rPr>
        <w:t xml:space="preserve">.  </w:t>
      </w:r>
      <w:r w:rsidR="007B0D53">
        <w:rPr>
          <w:color w:val="800080" w:themeColor="accent3"/>
        </w:rPr>
        <w:t>This is because of</w:t>
      </w:r>
      <w:r w:rsidR="007B0D53" w:rsidRPr="006B3F76">
        <w:rPr>
          <w:color w:val="800080" w:themeColor="accent3"/>
        </w:rPr>
        <w:t xml:space="preserve"> future improvements in vehicle fuel economy and penetration of more efficient electric vehicles stemming from various energy policies and legislation, as discussed in Chapter 2, </w:t>
      </w:r>
      <w:r w:rsidR="007B0D53" w:rsidRPr="006B3F76">
        <w:rPr>
          <w:i/>
          <w:iCs/>
          <w:color w:val="800080" w:themeColor="accent3"/>
        </w:rPr>
        <w:t>Regulatory Setting</w:t>
      </w:r>
      <w:r w:rsidR="007B0D53">
        <w:rPr>
          <w:color w:val="800080" w:themeColor="accent3"/>
        </w:rPr>
        <w:t xml:space="preserve">.  The project design features (e.g., new </w:t>
      </w:r>
      <w:r w:rsidR="005013ED">
        <w:rPr>
          <w:color w:val="800080" w:themeColor="accent3"/>
        </w:rPr>
        <w:t>bike lanes</w:t>
      </w:r>
      <w:r w:rsidR="007B0D53">
        <w:rPr>
          <w:color w:val="800080" w:themeColor="accent3"/>
        </w:rPr>
        <w:t>) would also contribute to more efficient use of direct energy, as noted above</w:t>
      </w:r>
      <w:bookmarkEnd w:id="124"/>
      <w:r w:rsidR="00851223">
        <w:rPr>
          <w:color w:val="800080" w:themeColor="accent3"/>
        </w:rPr>
        <w:t xml:space="preserve">.  </w:t>
      </w:r>
      <w:r w:rsidR="007B0D53" w:rsidRPr="007B0D53">
        <w:rPr>
          <w:b/>
          <w:bCs/>
          <w:color w:val="0000FF" w:themeColor="accent1"/>
        </w:rPr>
        <w:t>[End example]</w:t>
      </w:r>
      <w:r w:rsidR="007B0D53" w:rsidRPr="007B0D53">
        <w:rPr>
          <w:color w:val="0000FF" w:themeColor="accent1"/>
        </w:rPr>
        <w:t xml:space="preserve">  </w:t>
      </w:r>
    </w:p>
    <w:bookmarkEnd w:id="125"/>
    <w:p w14:paraId="2C78380A" w14:textId="3D7D2927" w:rsidR="008C6035"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37A5429" w14:textId="41D9B712" w:rsidR="0090186C" w:rsidRDefault="0090186C" w:rsidP="0090186C">
      <w:pPr>
        <w:pStyle w:val="IntroGuidanceHeading1"/>
      </w:pPr>
      <w:r>
        <w:t>GUIDANCE FOR QUANTITATIVE ANALYSIS</w:t>
      </w:r>
    </w:p>
    <w:p w14:paraId="2BBD9895" w14:textId="63027824" w:rsidR="0015352A" w:rsidRPr="0015352A" w:rsidRDefault="0015352A" w:rsidP="0015352A">
      <w:pPr>
        <w:rPr>
          <w:color w:val="0000FF" w:themeColor="accent1"/>
        </w:rPr>
      </w:pPr>
      <w:r w:rsidRPr="0015352A">
        <w:rPr>
          <w:color w:val="0000FF" w:themeColor="accent1"/>
        </w:rPr>
        <w:t>Congestion relief and capacity-increasing projects affect the ability of a transportation facility to accommodate existing and future traffic demand</w:t>
      </w:r>
      <w:r w:rsidR="00851223" w:rsidRPr="0015352A">
        <w:rPr>
          <w:color w:val="0000FF" w:themeColor="accent1"/>
        </w:rPr>
        <w:t xml:space="preserve">.  </w:t>
      </w:r>
      <w:r w:rsidRPr="0015352A">
        <w:rPr>
          <w:color w:val="0000FF" w:themeColor="accent1"/>
        </w:rPr>
        <w:t xml:space="preserve">This results in changes to direct energy by vehicles using the facilities. </w:t>
      </w:r>
    </w:p>
    <w:p w14:paraId="23936752" w14:textId="68837A2A" w:rsidR="0015352A" w:rsidRPr="0015352A" w:rsidRDefault="0015352A" w:rsidP="0015352A">
      <w:pPr>
        <w:rPr>
          <w:color w:val="0000FF" w:themeColor="accent1"/>
        </w:rPr>
      </w:pPr>
      <w:r w:rsidRPr="0015352A">
        <w:rPr>
          <w:color w:val="0000FF" w:themeColor="accent1"/>
        </w:rPr>
        <w:t>Complete a quantitative direct energy analysis for congestion relief and capacity-increasing projects</w:t>
      </w:r>
      <w:r w:rsidR="00851223" w:rsidRPr="0015352A">
        <w:rPr>
          <w:color w:val="0000FF" w:themeColor="accent1"/>
        </w:rPr>
        <w:t xml:space="preserve">.  </w:t>
      </w:r>
      <w:r w:rsidRPr="0015352A">
        <w:rPr>
          <w:color w:val="0000FF" w:themeColor="accent1"/>
        </w:rPr>
        <w:t>At a minimum, analyses must cover the baseline year, the year of opening (can be multiple years if construction is phased), and the design year (often 20 years after opening when traffic volumes are typically highest).</w:t>
      </w:r>
    </w:p>
    <w:p w14:paraId="68EF6A70" w14:textId="494BFF70" w:rsidR="0015352A" w:rsidRPr="0015352A" w:rsidRDefault="0015352A" w:rsidP="0015352A">
      <w:pPr>
        <w:rPr>
          <w:color w:val="0000FF" w:themeColor="accent1"/>
        </w:rPr>
      </w:pPr>
      <w:r w:rsidRPr="0015352A">
        <w:rPr>
          <w:color w:val="0000FF" w:themeColor="accent1"/>
        </w:rPr>
        <w:t>The primary data source for the analysis will be VMT, which can likely be obtained from the project Traffic Operations Analysis Report.  VMT data must be specific to the project study limits and include VMT from traffic traveling on both the affected roadway as well as other roadways within the project study</w:t>
      </w:r>
      <w:r w:rsidR="00F15BE1">
        <w:rPr>
          <w:color w:val="0000FF" w:themeColor="accent1"/>
        </w:rPr>
        <w:t xml:space="preserve"> area</w:t>
      </w:r>
      <w:r w:rsidRPr="0015352A">
        <w:rPr>
          <w:color w:val="0000FF" w:themeColor="accent1"/>
        </w:rPr>
        <w:t xml:space="preserve"> limits</w:t>
      </w:r>
      <w:r w:rsidR="00851223" w:rsidRPr="0015352A">
        <w:rPr>
          <w:color w:val="0000FF" w:themeColor="accent1"/>
        </w:rPr>
        <w:t xml:space="preserve">.  </w:t>
      </w:r>
      <w:r w:rsidRPr="0015352A">
        <w:rPr>
          <w:color w:val="0000FF" w:themeColor="accent1"/>
        </w:rPr>
        <w:t>The basic procedure for quantifying direct energy is to model fuel consumption using CT-EMFAC</w:t>
      </w:r>
      <w:r w:rsidR="00851223" w:rsidRPr="0015352A">
        <w:rPr>
          <w:color w:val="0000FF" w:themeColor="accent1"/>
        </w:rPr>
        <w:t xml:space="preserve">.  </w:t>
      </w:r>
      <w:r w:rsidRPr="0015352A">
        <w:rPr>
          <w:color w:val="0000FF" w:themeColor="accent1"/>
        </w:rPr>
        <w:t xml:space="preserve">CT-EMFAC is an emissions tool developed by Caltrans that calculates project-level emissions and fuel consumption using data from </w:t>
      </w:r>
      <w:proofErr w:type="spellStart"/>
      <w:r w:rsidRPr="0015352A">
        <w:rPr>
          <w:color w:val="0000FF" w:themeColor="accent1"/>
        </w:rPr>
        <w:t>CARB’s</w:t>
      </w:r>
      <w:proofErr w:type="spellEnd"/>
      <w:r w:rsidRPr="0015352A">
        <w:rPr>
          <w:color w:val="0000FF" w:themeColor="accent1"/>
        </w:rPr>
        <w:t xml:space="preserve"> EMFAC model</w:t>
      </w:r>
      <w:r w:rsidR="00851223" w:rsidRPr="0015352A">
        <w:rPr>
          <w:color w:val="0000FF" w:themeColor="accent1"/>
        </w:rPr>
        <w:t xml:space="preserve">.  </w:t>
      </w:r>
      <w:r w:rsidRPr="0015352A">
        <w:rPr>
          <w:color w:val="0000FF" w:themeColor="accent1"/>
        </w:rPr>
        <w:t>CT-EMFAC version 2021 reports fuel consumption for gasoline, diesel, natural gas, and electricity</w:t>
      </w:r>
      <w:r w:rsidR="00851223" w:rsidRPr="0015352A">
        <w:rPr>
          <w:color w:val="0000FF" w:themeColor="accent1"/>
        </w:rPr>
        <w:t xml:space="preserve">.  </w:t>
      </w:r>
      <w:r w:rsidRPr="0015352A">
        <w:rPr>
          <w:color w:val="0000FF" w:themeColor="accent1"/>
        </w:rPr>
        <w:t>Gasoline and diesel consumption are given in terms of gallons, whereas natural gas is reported as diesel equivalent gallon (DEG)</w:t>
      </w:r>
      <w:r w:rsidR="00851223" w:rsidRPr="0015352A">
        <w:rPr>
          <w:color w:val="0000FF" w:themeColor="accent1"/>
        </w:rPr>
        <w:t xml:space="preserve">.  </w:t>
      </w:r>
      <w:r w:rsidRPr="0015352A">
        <w:rPr>
          <w:color w:val="0000FF" w:themeColor="accent1"/>
        </w:rPr>
        <w:t>A DEG has an equivalent energy content to a gallon of diesel fuel</w:t>
      </w:r>
      <w:r w:rsidR="00851223" w:rsidRPr="0015352A">
        <w:rPr>
          <w:color w:val="0000FF" w:themeColor="accent1"/>
        </w:rPr>
        <w:t xml:space="preserve">.  </w:t>
      </w:r>
      <w:r w:rsidRPr="0015352A">
        <w:rPr>
          <w:color w:val="0000FF" w:themeColor="accent1"/>
        </w:rPr>
        <w:t xml:space="preserve">A DEG of natural gas can be converted to </w:t>
      </w:r>
      <w:proofErr w:type="spellStart"/>
      <w:r w:rsidRPr="0015352A">
        <w:rPr>
          <w:color w:val="0000FF" w:themeColor="accent1"/>
        </w:rPr>
        <w:t>scf</w:t>
      </w:r>
      <w:proofErr w:type="spellEnd"/>
      <w:r w:rsidRPr="0015352A">
        <w:rPr>
          <w:color w:val="0000FF" w:themeColor="accent1"/>
        </w:rPr>
        <w:t xml:space="preserve"> using a conversion factor of 144 </w:t>
      </w:r>
      <w:proofErr w:type="spellStart"/>
      <w:r w:rsidRPr="0015352A">
        <w:rPr>
          <w:color w:val="0000FF" w:themeColor="accent1"/>
        </w:rPr>
        <w:t>scf</w:t>
      </w:r>
      <w:proofErr w:type="spellEnd"/>
      <w:r w:rsidRPr="0015352A">
        <w:rPr>
          <w:color w:val="0000FF" w:themeColor="accent1"/>
        </w:rPr>
        <w:t xml:space="preserve"> </w:t>
      </w:r>
      <w:r w:rsidRPr="0015352A">
        <w:rPr>
          <w:color w:val="0000FF" w:themeColor="accent1"/>
        </w:rPr>
        <w:lastRenderedPageBreak/>
        <w:t>per DEG (</w:t>
      </w:r>
      <w:r w:rsidR="00412315">
        <w:rPr>
          <w:color w:val="0000FF" w:themeColor="accent1"/>
        </w:rPr>
        <w:t>Caltrans</w:t>
      </w:r>
      <w:r w:rsidRPr="0015352A">
        <w:rPr>
          <w:color w:val="0000FF" w:themeColor="accent1"/>
        </w:rPr>
        <w:t xml:space="preserve"> 2021)</w:t>
      </w:r>
      <w:r w:rsidR="00851223" w:rsidRPr="0015352A">
        <w:rPr>
          <w:color w:val="0000FF" w:themeColor="accent1"/>
        </w:rPr>
        <w:t xml:space="preserve">.  </w:t>
      </w:r>
      <w:r w:rsidRPr="0015352A">
        <w:rPr>
          <w:color w:val="0000FF" w:themeColor="accent1"/>
        </w:rPr>
        <w:t>Electricity consumption is reported in units of kWh</w:t>
      </w:r>
      <w:r w:rsidR="00851223" w:rsidRPr="0015352A">
        <w:rPr>
          <w:color w:val="0000FF" w:themeColor="accent1"/>
        </w:rPr>
        <w:t xml:space="preserve">.  </w:t>
      </w:r>
      <w:r w:rsidRPr="0015352A">
        <w:rPr>
          <w:color w:val="0000FF" w:themeColor="accent1"/>
        </w:rPr>
        <w:t>Project fuel consumption can also be quantified by multiplying project VMT data by vehicle fuel consumption factors obtained from EMFAC</w:t>
      </w:r>
      <w:r w:rsidR="00851223" w:rsidRPr="0015352A">
        <w:rPr>
          <w:color w:val="0000FF" w:themeColor="accent1"/>
        </w:rPr>
        <w:t xml:space="preserve">.  </w:t>
      </w:r>
      <w:r w:rsidRPr="0015352A">
        <w:rPr>
          <w:color w:val="0000FF" w:themeColor="accent1"/>
        </w:rPr>
        <w:t xml:space="preserve">For projects with an AQR, it is likely that emissions have been quantified using CT-EMFAC or EMFAC.  </w:t>
      </w:r>
    </w:p>
    <w:p w14:paraId="43D326A0" w14:textId="77777777" w:rsidR="0015352A" w:rsidRPr="0015352A" w:rsidRDefault="0015352A" w:rsidP="0015352A">
      <w:pPr>
        <w:rPr>
          <w:color w:val="0000FF" w:themeColor="accent1"/>
        </w:rPr>
      </w:pPr>
      <w:r w:rsidRPr="0015352A">
        <w:rPr>
          <w:color w:val="0000FF" w:themeColor="accent1"/>
        </w:rPr>
        <w:t xml:space="preserve">Convert the quantified fuel consumption into equivalent BTU using the factors provided in Table 4-1 in Section 4.1, </w:t>
      </w:r>
      <w:r w:rsidRPr="0015352A">
        <w:rPr>
          <w:i/>
          <w:iCs/>
          <w:color w:val="0000FF" w:themeColor="accent1"/>
        </w:rPr>
        <w:t>Introduction</w:t>
      </w:r>
      <w:r w:rsidRPr="0015352A">
        <w:rPr>
          <w:color w:val="0000FF" w:themeColor="accent1"/>
        </w:rPr>
        <w:t xml:space="preserve">. </w:t>
      </w:r>
    </w:p>
    <w:p w14:paraId="46FB8C8D" w14:textId="02B5425C" w:rsidR="0090186C" w:rsidRDefault="0015352A" w:rsidP="0015352A">
      <w:pPr>
        <w:rPr>
          <w:color w:val="0000FF" w:themeColor="accent1"/>
        </w:rPr>
      </w:pPr>
      <w:r w:rsidRPr="0015352A">
        <w:rPr>
          <w:color w:val="0000FF" w:themeColor="accent1"/>
        </w:rPr>
        <w:t>Describe the approach used to quantify vehicle fuel consumption and direct energy</w:t>
      </w:r>
      <w:r w:rsidR="00851223" w:rsidRPr="0015352A">
        <w:rPr>
          <w:color w:val="0000FF" w:themeColor="accent1"/>
        </w:rPr>
        <w:t xml:space="preserve">.  </w:t>
      </w:r>
      <w:r w:rsidRPr="0015352A">
        <w:rPr>
          <w:color w:val="0000FF" w:themeColor="accent1"/>
        </w:rPr>
        <w:t>Summarize annual VMT data for the analysis conditions in a table and refer readers to an appendix for more detailed VMT data (if available and if used)</w:t>
      </w:r>
      <w:r w:rsidR="00851223" w:rsidRPr="0015352A">
        <w:rPr>
          <w:color w:val="0000FF" w:themeColor="accent1"/>
        </w:rPr>
        <w:t xml:space="preserve">.  </w:t>
      </w:r>
      <w:r w:rsidRPr="0015352A">
        <w:rPr>
          <w:color w:val="0000FF" w:themeColor="accent1"/>
        </w:rPr>
        <w:t>Document the fuel consumption and direct energy in summary tables</w:t>
      </w:r>
      <w:r w:rsidR="00851223" w:rsidRPr="0015352A">
        <w:rPr>
          <w:color w:val="0000FF" w:themeColor="accent1"/>
        </w:rPr>
        <w:t xml:space="preserve">.  </w:t>
      </w:r>
      <w:r w:rsidRPr="0015352A">
        <w:rPr>
          <w:color w:val="0000FF" w:themeColor="accent1"/>
        </w:rPr>
        <w:t>Model outputs should be provided in an appendix</w:t>
      </w:r>
      <w:r w:rsidR="00851223" w:rsidRPr="0015352A">
        <w:rPr>
          <w:color w:val="0000FF" w:themeColor="accent1"/>
        </w:rPr>
        <w:t xml:space="preserve">.  </w:t>
      </w:r>
      <w:r w:rsidRPr="0015352A">
        <w:rPr>
          <w:color w:val="0000FF" w:themeColor="accent1"/>
        </w:rPr>
        <w:t>Compare direct energy among the build alternative(s) and analysis conditions</w:t>
      </w:r>
      <w:r w:rsidR="00851223" w:rsidRPr="0015352A">
        <w:rPr>
          <w:color w:val="0000FF" w:themeColor="accent1"/>
        </w:rPr>
        <w:t xml:space="preserve">.  </w:t>
      </w:r>
      <w:r w:rsidRPr="0015352A">
        <w:rPr>
          <w:color w:val="0000FF" w:themeColor="accent1"/>
        </w:rPr>
        <w:t>Discuss direct energy consumption changes attributable to the project</w:t>
      </w:r>
      <w:r w:rsidR="00851223" w:rsidRPr="0015352A">
        <w:rPr>
          <w:color w:val="0000FF" w:themeColor="accent1"/>
        </w:rPr>
        <w:t xml:space="preserve">.  </w:t>
      </w:r>
      <w:r w:rsidRPr="0015352A">
        <w:rPr>
          <w:color w:val="0000FF" w:themeColor="accent1"/>
        </w:rPr>
        <w:t>Discuss energy-saving or conservation measures that have been incorporated into the project design</w:t>
      </w:r>
      <w:r w:rsidR="0090186C" w:rsidRPr="00514C95">
        <w:rPr>
          <w:color w:val="0000FF" w:themeColor="accent1"/>
        </w:rPr>
        <w:t xml:space="preserve">.  </w:t>
      </w:r>
    </w:p>
    <w:p w14:paraId="10FDE89A" w14:textId="114B4876" w:rsidR="00F56C3C" w:rsidRDefault="00F56C3C" w:rsidP="00F56C3C">
      <w:pPr>
        <w:rPr>
          <w:color w:val="800080" w:themeColor="accent3"/>
        </w:rPr>
      </w:pPr>
      <w:r>
        <w:rPr>
          <w:color w:val="0000FF" w:themeColor="accent1"/>
        </w:rPr>
        <w:t>The following is an example analysis.</w:t>
      </w:r>
      <w:r w:rsidRPr="006B3F76" w:rsidDel="007C79D3">
        <w:rPr>
          <w:color w:val="800080" w:themeColor="accent3"/>
        </w:rPr>
        <w:t xml:space="preserve"> </w:t>
      </w:r>
      <w:r w:rsidR="004018A6">
        <w:rPr>
          <w:color w:val="800080" w:themeColor="accent3"/>
        </w:rPr>
        <w:t xml:space="preserve"> </w:t>
      </w:r>
      <w:r w:rsidR="004018A6">
        <w:rPr>
          <w:color w:val="0000FF" w:themeColor="accent1"/>
        </w:rPr>
        <w:t xml:space="preserve">Note that </w:t>
      </w:r>
      <w:r w:rsidR="00DF3ADA">
        <w:rPr>
          <w:color w:val="0000FF" w:themeColor="accent1"/>
        </w:rPr>
        <w:t xml:space="preserve">example </w:t>
      </w:r>
      <w:r w:rsidR="004018A6">
        <w:rPr>
          <w:color w:val="0000FF" w:themeColor="accent1"/>
        </w:rPr>
        <w:t xml:space="preserve">numeric results are </w:t>
      </w:r>
      <w:r w:rsidR="00DF3ADA">
        <w:rPr>
          <w:color w:val="0000FF" w:themeColor="accent1"/>
        </w:rPr>
        <w:t xml:space="preserve">provided in the tables but not in the narrative text.  </w:t>
      </w:r>
      <w:r w:rsidR="003656ED">
        <w:rPr>
          <w:color w:val="0000FF" w:themeColor="accent1"/>
        </w:rPr>
        <w:t>The text uses [</w:t>
      </w:r>
      <w:r w:rsidR="004018A6">
        <w:rPr>
          <w:color w:val="0000FF" w:themeColor="accent1"/>
        </w:rPr>
        <w:t>value]</w:t>
      </w:r>
      <w:r w:rsidR="003656ED">
        <w:rPr>
          <w:color w:val="0000FF" w:themeColor="accent1"/>
        </w:rPr>
        <w:t xml:space="preserve"> to </w:t>
      </w:r>
      <w:r w:rsidR="002A44F9">
        <w:rPr>
          <w:color w:val="0000FF" w:themeColor="accent1"/>
        </w:rPr>
        <w:t xml:space="preserve">indicate </w:t>
      </w:r>
      <w:r w:rsidR="003656ED">
        <w:rPr>
          <w:color w:val="0000FF" w:themeColor="accent1"/>
        </w:rPr>
        <w:t xml:space="preserve">where </w:t>
      </w:r>
      <w:r w:rsidR="00676D88">
        <w:rPr>
          <w:color w:val="0000FF" w:themeColor="accent1"/>
        </w:rPr>
        <w:t>project</w:t>
      </w:r>
      <w:r w:rsidR="002A44F9">
        <w:rPr>
          <w:color w:val="0000FF" w:themeColor="accent1"/>
        </w:rPr>
        <w:t>-</w:t>
      </w:r>
      <w:r w:rsidR="003656ED">
        <w:rPr>
          <w:color w:val="0000FF" w:themeColor="accent1"/>
        </w:rPr>
        <w:t>specific results would be given</w:t>
      </w:r>
      <w:r w:rsidR="004018A6">
        <w:rPr>
          <w:color w:val="0000FF" w:themeColor="accent1"/>
        </w:rPr>
        <w:t>.</w:t>
      </w:r>
    </w:p>
    <w:p w14:paraId="7F41CA4E" w14:textId="544A517C" w:rsidR="00FF257B" w:rsidRDefault="009B56F5" w:rsidP="0015352A">
      <w:pPr>
        <w:rPr>
          <w:color w:val="800080" w:themeColor="accent3"/>
        </w:rPr>
      </w:pPr>
      <w:r w:rsidRPr="009B56F5">
        <w:rPr>
          <w:color w:val="800080" w:themeColor="accent3"/>
        </w:rPr>
        <w:t>Direct energy calculations for transportation projects are informed by VMT and traffic operating conditions (e.g., travel speeds)</w:t>
      </w:r>
      <w:r w:rsidR="00851223" w:rsidRPr="009B56F5">
        <w:rPr>
          <w:color w:val="800080" w:themeColor="accent3"/>
        </w:rPr>
        <w:t xml:space="preserve">.  </w:t>
      </w:r>
      <w:r w:rsidRPr="009B56F5">
        <w:rPr>
          <w:color w:val="800080" w:themeColor="accent3"/>
        </w:rPr>
        <w:t>Table 4-2 summarizes annual VMT for the project study area under existing (202</w:t>
      </w:r>
      <w:r w:rsidR="00A80868">
        <w:rPr>
          <w:color w:val="800080" w:themeColor="accent3"/>
        </w:rPr>
        <w:t>3</w:t>
      </w:r>
      <w:r w:rsidRPr="009B56F5">
        <w:rPr>
          <w:color w:val="800080" w:themeColor="accent3"/>
        </w:rPr>
        <w:t xml:space="preserve">), opening (2025), and design (2045) year conditions.  Refer to Appendix A for more detailed VMT data by 5 mile-per-hour (mph) speed increments.  As shown in the table, VMT under existing conditions are lower than projected for future year conditions with or without the </w:t>
      </w:r>
      <w:r w:rsidR="005B50EE">
        <w:rPr>
          <w:color w:val="800080" w:themeColor="accent3"/>
        </w:rPr>
        <w:t>b</w:t>
      </w:r>
      <w:r w:rsidR="005B50EE" w:rsidRPr="009B56F5">
        <w:rPr>
          <w:color w:val="800080" w:themeColor="accent3"/>
        </w:rPr>
        <w:t xml:space="preserve">uild </w:t>
      </w:r>
      <w:r w:rsidR="005B50EE">
        <w:rPr>
          <w:color w:val="800080" w:themeColor="accent3"/>
        </w:rPr>
        <w:t>a</w:t>
      </w:r>
      <w:r w:rsidR="005B50EE" w:rsidRPr="009B56F5">
        <w:rPr>
          <w:color w:val="800080" w:themeColor="accent3"/>
        </w:rPr>
        <w:t>lternatives</w:t>
      </w:r>
      <w:r w:rsidRPr="009B56F5">
        <w:rPr>
          <w:color w:val="800080" w:themeColor="accent3"/>
        </w:rPr>
        <w:t>.</w:t>
      </w:r>
      <w:r w:rsidR="005B50EE">
        <w:rPr>
          <w:color w:val="800080" w:themeColor="accent3"/>
        </w:rPr>
        <w:t xml:space="preserve"> </w:t>
      </w:r>
      <w:r w:rsidRPr="009B56F5">
        <w:rPr>
          <w:color w:val="800080" w:themeColor="accent3"/>
        </w:rPr>
        <w:t xml:space="preserve"> The increase in VMT can be attributed to expected population growth and increased employment in the region.</w:t>
      </w:r>
    </w:p>
    <w:p w14:paraId="776190B1" w14:textId="0C23299F" w:rsidR="009B56F5" w:rsidRPr="00936B73" w:rsidRDefault="004F24C2" w:rsidP="009B56F5">
      <w:pPr>
        <w:pStyle w:val="TableTitle"/>
        <w:rPr>
          <w:color w:val="800080" w:themeColor="accent3"/>
        </w:rPr>
      </w:pPr>
      <w:bookmarkStart w:id="126" w:name="_Toc157429610"/>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2</w:t>
      </w:r>
      <w:r w:rsidRPr="004F24C2">
        <w:rPr>
          <w:noProof/>
          <w:color w:val="800080" w:themeColor="accent3"/>
        </w:rPr>
        <w:fldChar w:fldCharType="end"/>
      </w:r>
      <w:r w:rsidRPr="004F24C2">
        <w:rPr>
          <w:color w:val="800080" w:themeColor="accent3"/>
        </w:rPr>
        <w:t xml:space="preserve">: </w:t>
      </w:r>
      <w:r w:rsidR="009F198C" w:rsidRPr="009F198C">
        <w:rPr>
          <w:color w:val="800080" w:themeColor="accent3"/>
        </w:rPr>
        <w:t>Operational Vehicle Miles Traveled by Alternative and Study Year</w:t>
      </w:r>
      <w:bookmarkEnd w:id="126"/>
    </w:p>
    <w:tbl>
      <w:tblPr>
        <w:tblStyle w:val="TableGrid"/>
        <w:tblW w:w="0" w:type="auto"/>
        <w:tblLook w:val="0020" w:firstRow="1" w:lastRow="0" w:firstColumn="0" w:lastColumn="0" w:noHBand="0" w:noVBand="0"/>
        <w:tblCaption w:val="Operational Vehicle Miles Traveled by Alternative and Study Year"/>
        <w:tblDescription w:val="A table with example results for annual vehicle miles traveled, change in vehicle miles traveled from 2023 existing conditions, and vehicle miles traveled changes from no-build conditions for each alternative and study year."/>
      </w:tblPr>
      <w:tblGrid>
        <w:gridCol w:w="2515"/>
        <w:gridCol w:w="1800"/>
        <w:gridCol w:w="2610"/>
        <w:gridCol w:w="2425"/>
      </w:tblGrid>
      <w:tr w:rsidR="009B56F5" w:rsidRPr="00936B73" w14:paraId="75D3F3BF" w14:textId="77777777" w:rsidTr="008F60DA">
        <w:trPr>
          <w:cantSplit/>
        </w:trPr>
        <w:tc>
          <w:tcPr>
            <w:tcW w:w="2515" w:type="dxa"/>
          </w:tcPr>
          <w:p w14:paraId="74F8D6E0" w14:textId="1D3AB64E" w:rsidR="009B56F5" w:rsidRPr="00936B73" w:rsidRDefault="009F198C" w:rsidP="00E2161A">
            <w:pPr>
              <w:pStyle w:val="TableHeading"/>
              <w:rPr>
                <w:color w:val="800080" w:themeColor="accent3"/>
              </w:rPr>
            </w:pPr>
            <w:r>
              <w:rPr>
                <w:color w:val="800080" w:themeColor="accent3"/>
              </w:rPr>
              <w:t>Alternative and Study Year</w:t>
            </w:r>
          </w:p>
        </w:tc>
        <w:tc>
          <w:tcPr>
            <w:tcW w:w="1800" w:type="dxa"/>
          </w:tcPr>
          <w:p w14:paraId="095843E4" w14:textId="0FC0AA0A" w:rsidR="009B56F5" w:rsidRPr="00936B73" w:rsidRDefault="009F198C" w:rsidP="00E2161A">
            <w:pPr>
              <w:pStyle w:val="TableHeading"/>
              <w:rPr>
                <w:color w:val="800080" w:themeColor="accent3"/>
              </w:rPr>
            </w:pPr>
            <w:r>
              <w:rPr>
                <w:color w:val="800080" w:themeColor="accent3"/>
              </w:rPr>
              <w:t>Annual VMT</w:t>
            </w:r>
          </w:p>
        </w:tc>
        <w:tc>
          <w:tcPr>
            <w:tcW w:w="2610" w:type="dxa"/>
          </w:tcPr>
          <w:p w14:paraId="1A3146B1" w14:textId="4224D72A" w:rsidR="009B56F5" w:rsidRPr="00936B73" w:rsidRDefault="009F198C" w:rsidP="00E2161A">
            <w:pPr>
              <w:pStyle w:val="TableHeading"/>
              <w:rPr>
                <w:color w:val="800080" w:themeColor="accent3"/>
              </w:rPr>
            </w:pPr>
            <w:r>
              <w:rPr>
                <w:color w:val="800080" w:themeColor="accent3"/>
              </w:rPr>
              <w:t>VMT Change from 202</w:t>
            </w:r>
            <w:r w:rsidR="00A80868">
              <w:rPr>
                <w:color w:val="800080" w:themeColor="accent3"/>
              </w:rPr>
              <w:t>3</w:t>
            </w:r>
            <w:r>
              <w:rPr>
                <w:color w:val="800080" w:themeColor="accent3"/>
              </w:rPr>
              <w:t xml:space="preserve"> Existing (% Change)</w:t>
            </w:r>
          </w:p>
        </w:tc>
        <w:tc>
          <w:tcPr>
            <w:tcW w:w="2425" w:type="dxa"/>
          </w:tcPr>
          <w:p w14:paraId="6F71A500" w14:textId="497E5C75" w:rsidR="009B56F5" w:rsidRPr="00936B73" w:rsidRDefault="009F198C" w:rsidP="00E2161A">
            <w:pPr>
              <w:pStyle w:val="TableHeading"/>
              <w:rPr>
                <w:color w:val="800080" w:themeColor="accent3"/>
              </w:rPr>
            </w:pPr>
            <w:r>
              <w:rPr>
                <w:color w:val="800080" w:themeColor="accent3"/>
              </w:rPr>
              <w:t>VMT Change from No-Build (% Change)</w:t>
            </w:r>
          </w:p>
        </w:tc>
      </w:tr>
      <w:tr w:rsidR="009B56F5" w:rsidRPr="00936B73" w14:paraId="648E7C89" w14:textId="77777777" w:rsidTr="008F60DA">
        <w:trPr>
          <w:cantSplit/>
        </w:trPr>
        <w:tc>
          <w:tcPr>
            <w:tcW w:w="2515" w:type="dxa"/>
          </w:tcPr>
          <w:p w14:paraId="5F3AE53D" w14:textId="1A5F4D49" w:rsidR="009B56F5" w:rsidRPr="00936B73" w:rsidRDefault="009F198C" w:rsidP="00E2161A">
            <w:pPr>
              <w:pStyle w:val="TableText"/>
              <w:rPr>
                <w:color w:val="800080" w:themeColor="accent3"/>
              </w:rPr>
            </w:pPr>
            <w:r>
              <w:rPr>
                <w:color w:val="800080" w:themeColor="accent3"/>
              </w:rPr>
              <w:t>202</w:t>
            </w:r>
            <w:r w:rsidR="00A80868">
              <w:rPr>
                <w:color w:val="800080" w:themeColor="accent3"/>
              </w:rPr>
              <w:t>3</w:t>
            </w:r>
            <w:r>
              <w:rPr>
                <w:color w:val="800080" w:themeColor="accent3"/>
              </w:rPr>
              <w:t xml:space="preserve"> Existing </w:t>
            </w:r>
            <w:r w:rsidR="008F60DA">
              <w:rPr>
                <w:color w:val="800080" w:themeColor="accent3"/>
              </w:rPr>
              <w:t>Conditions</w:t>
            </w:r>
          </w:p>
        </w:tc>
        <w:tc>
          <w:tcPr>
            <w:tcW w:w="1800" w:type="dxa"/>
          </w:tcPr>
          <w:p w14:paraId="717942ED" w14:textId="5769804B" w:rsidR="009B56F5" w:rsidRPr="00936B73" w:rsidRDefault="005068DB" w:rsidP="00E2161A">
            <w:pPr>
              <w:pStyle w:val="TableText"/>
              <w:rPr>
                <w:color w:val="800080" w:themeColor="accent3"/>
              </w:rPr>
            </w:pPr>
            <w:r w:rsidRPr="005068DB">
              <w:rPr>
                <w:color w:val="800080" w:themeColor="accent3"/>
              </w:rPr>
              <w:t>285,315,442</w:t>
            </w:r>
          </w:p>
        </w:tc>
        <w:tc>
          <w:tcPr>
            <w:tcW w:w="2610" w:type="dxa"/>
          </w:tcPr>
          <w:p w14:paraId="54098245" w14:textId="7327D8F2" w:rsidR="009B56F5" w:rsidRPr="00936B73" w:rsidRDefault="00EE4C07" w:rsidP="00E2161A">
            <w:pPr>
              <w:pStyle w:val="TableText"/>
              <w:rPr>
                <w:color w:val="800080" w:themeColor="accent3"/>
              </w:rPr>
            </w:pPr>
            <w:r w:rsidRPr="00A23112">
              <w:rPr>
                <w:color w:val="800080" w:themeColor="accent3"/>
              </w:rPr>
              <w:t>N/A</w:t>
            </w:r>
          </w:p>
        </w:tc>
        <w:tc>
          <w:tcPr>
            <w:tcW w:w="2425" w:type="dxa"/>
          </w:tcPr>
          <w:p w14:paraId="0BD77ACB" w14:textId="5ABABB84" w:rsidR="009B56F5" w:rsidRPr="00936B73" w:rsidRDefault="00EE4C07" w:rsidP="00E2161A">
            <w:pPr>
              <w:pStyle w:val="TableText"/>
              <w:rPr>
                <w:color w:val="800080" w:themeColor="accent3"/>
              </w:rPr>
            </w:pPr>
            <w:r w:rsidRPr="00A23112">
              <w:rPr>
                <w:color w:val="800080" w:themeColor="accent3"/>
              </w:rPr>
              <w:t>N/A</w:t>
            </w:r>
            <w:r w:rsidRPr="0009707A" w:rsidDel="00EE4C07">
              <w:rPr>
                <w:color w:val="800080" w:themeColor="accent3"/>
              </w:rPr>
              <w:t xml:space="preserve"> </w:t>
            </w:r>
          </w:p>
        </w:tc>
      </w:tr>
      <w:tr w:rsidR="009B56F5" w:rsidRPr="00936B73" w14:paraId="327019A6" w14:textId="77777777" w:rsidTr="008F60DA">
        <w:trPr>
          <w:cantSplit/>
        </w:trPr>
        <w:tc>
          <w:tcPr>
            <w:tcW w:w="2515" w:type="dxa"/>
          </w:tcPr>
          <w:p w14:paraId="494C75DA" w14:textId="751B38DB" w:rsidR="009B56F5" w:rsidRPr="00936B73" w:rsidRDefault="009F198C" w:rsidP="00E2161A">
            <w:pPr>
              <w:pStyle w:val="TableText"/>
              <w:rPr>
                <w:color w:val="800080" w:themeColor="accent3"/>
              </w:rPr>
            </w:pPr>
            <w:r>
              <w:rPr>
                <w:color w:val="800080" w:themeColor="accent3"/>
              </w:rPr>
              <w:t>2025 No-Build</w:t>
            </w:r>
            <w:r w:rsidR="008F60DA">
              <w:rPr>
                <w:color w:val="800080" w:themeColor="accent3"/>
              </w:rPr>
              <w:t xml:space="preserve"> Alternative </w:t>
            </w:r>
          </w:p>
        </w:tc>
        <w:tc>
          <w:tcPr>
            <w:tcW w:w="1800" w:type="dxa"/>
          </w:tcPr>
          <w:p w14:paraId="1551FD1F" w14:textId="13A69622" w:rsidR="009B56F5" w:rsidRPr="00936B73" w:rsidRDefault="00D93878" w:rsidP="00E2161A">
            <w:pPr>
              <w:pStyle w:val="TableText"/>
              <w:rPr>
                <w:color w:val="800080" w:themeColor="accent3"/>
              </w:rPr>
            </w:pPr>
            <w:r w:rsidRPr="00D93878">
              <w:rPr>
                <w:color w:val="800080" w:themeColor="accent3"/>
              </w:rPr>
              <w:t>308,140,677</w:t>
            </w:r>
          </w:p>
        </w:tc>
        <w:tc>
          <w:tcPr>
            <w:tcW w:w="2610" w:type="dxa"/>
          </w:tcPr>
          <w:p w14:paraId="05684856" w14:textId="696BF0BA" w:rsidR="009B56F5" w:rsidRPr="00936B73" w:rsidRDefault="00F55BD3" w:rsidP="00E2161A">
            <w:pPr>
              <w:pStyle w:val="TableText"/>
              <w:rPr>
                <w:color w:val="800080" w:themeColor="accent3"/>
              </w:rPr>
            </w:pPr>
            <w:r w:rsidRPr="00F55BD3">
              <w:rPr>
                <w:color w:val="800080" w:themeColor="accent3"/>
              </w:rPr>
              <w:t>22,825,235 (8%)</w:t>
            </w:r>
          </w:p>
        </w:tc>
        <w:tc>
          <w:tcPr>
            <w:tcW w:w="2425" w:type="dxa"/>
          </w:tcPr>
          <w:p w14:paraId="0CABB5F4" w14:textId="48B89DAE" w:rsidR="009B56F5" w:rsidRPr="00936B73" w:rsidRDefault="00EE4C07" w:rsidP="00E2161A">
            <w:pPr>
              <w:pStyle w:val="TableText"/>
              <w:rPr>
                <w:color w:val="800080" w:themeColor="accent3"/>
              </w:rPr>
            </w:pPr>
            <w:r w:rsidRPr="00A23112">
              <w:rPr>
                <w:color w:val="800080" w:themeColor="accent3"/>
              </w:rPr>
              <w:t>N/A</w:t>
            </w:r>
          </w:p>
        </w:tc>
      </w:tr>
      <w:tr w:rsidR="009B56F5" w:rsidRPr="00936B73" w14:paraId="68AA5637" w14:textId="77777777" w:rsidTr="008F60DA">
        <w:trPr>
          <w:cantSplit/>
        </w:trPr>
        <w:tc>
          <w:tcPr>
            <w:tcW w:w="2515" w:type="dxa"/>
          </w:tcPr>
          <w:p w14:paraId="1194BE23" w14:textId="60A7A64A" w:rsidR="009B56F5" w:rsidRPr="00936B73" w:rsidRDefault="008F60DA" w:rsidP="00E2161A">
            <w:pPr>
              <w:pStyle w:val="TableText"/>
              <w:rPr>
                <w:color w:val="800080" w:themeColor="accent3"/>
              </w:rPr>
            </w:pPr>
            <w:r>
              <w:rPr>
                <w:color w:val="800080" w:themeColor="accent3"/>
              </w:rPr>
              <w:t>2025 Alternative 1</w:t>
            </w:r>
          </w:p>
        </w:tc>
        <w:tc>
          <w:tcPr>
            <w:tcW w:w="1800" w:type="dxa"/>
          </w:tcPr>
          <w:p w14:paraId="124F0D79" w14:textId="254706D5" w:rsidR="009B56F5" w:rsidRPr="00936B73" w:rsidRDefault="00D93878" w:rsidP="00E2161A">
            <w:pPr>
              <w:pStyle w:val="TableText"/>
              <w:rPr>
                <w:color w:val="800080" w:themeColor="accent3"/>
              </w:rPr>
            </w:pPr>
            <w:r w:rsidRPr="00D93878">
              <w:rPr>
                <w:color w:val="800080" w:themeColor="accent3"/>
              </w:rPr>
              <w:t>308,140,677</w:t>
            </w:r>
          </w:p>
        </w:tc>
        <w:tc>
          <w:tcPr>
            <w:tcW w:w="2610" w:type="dxa"/>
          </w:tcPr>
          <w:p w14:paraId="7DC49CBE" w14:textId="1646A0F5" w:rsidR="009B56F5" w:rsidRPr="00936B73" w:rsidRDefault="00F55BD3" w:rsidP="00E2161A">
            <w:pPr>
              <w:pStyle w:val="TableText"/>
              <w:rPr>
                <w:color w:val="800080" w:themeColor="accent3"/>
              </w:rPr>
            </w:pPr>
            <w:r w:rsidRPr="00F55BD3">
              <w:rPr>
                <w:color w:val="800080" w:themeColor="accent3"/>
              </w:rPr>
              <w:t>22,825,235 (8%)</w:t>
            </w:r>
          </w:p>
        </w:tc>
        <w:tc>
          <w:tcPr>
            <w:tcW w:w="2425" w:type="dxa"/>
          </w:tcPr>
          <w:p w14:paraId="7ABE114B" w14:textId="063A0FEB" w:rsidR="009B56F5" w:rsidRPr="00936B73" w:rsidRDefault="00036B45" w:rsidP="00E2161A">
            <w:pPr>
              <w:pStyle w:val="TableText"/>
              <w:rPr>
                <w:color w:val="800080" w:themeColor="accent3"/>
              </w:rPr>
            </w:pPr>
            <w:r w:rsidRPr="00036B45">
              <w:rPr>
                <w:color w:val="800080" w:themeColor="accent3"/>
              </w:rPr>
              <w:t>0 (0%)</w:t>
            </w:r>
          </w:p>
        </w:tc>
      </w:tr>
      <w:tr w:rsidR="009B56F5" w:rsidRPr="00936B73" w14:paraId="213D3C1A" w14:textId="77777777" w:rsidTr="008F60DA">
        <w:trPr>
          <w:cantSplit/>
        </w:trPr>
        <w:tc>
          <w:tcPr>
            <w:tcW w:w="2515" w:type="dxa"/>
          </w:tcPr>
          <w:p w14:paraId="69BA7271" w14:textId="2070BC4A" w:rsidR="009B56F5" w:rsidRPr="00936B73" w:rsidRDefault="008F60DA" w:rsidP="00E2161A">
            <w:pPr>
              <w:pStyle w:val="TableText"/>
              <w:rPr>
                <w:color w:val="800080" w:themeColor="accent3"/>
              </w:rPr>
            </w:pPr>
            <w:r>
              <w:rPr>
                <w:color w:val="800080" w:themeColor="accent3"/>
              </w:rPr>
              <w:t>2025 Alternative 2</w:t>
            </w:r>
          </w:p>
        </w:tc>
        <w:tc>
          <w:tcPr>
            <w:tcW w:w="1800" w:type="dxa"/>
          </w:tcPr>
          <w:p w14:paraId="30C5398F" w14:textId="20D23C6B" w:rsidR="009B56F5" w:rsidRPr="00936B73" w:rsidRDefault="00D93878" w:rsidP="00E2161A">
            <w:pPr>
              <w:pStyle w:val="TableText"/>
              <w:rPr>
                <w:color w:val="800080" w:themeColor="accent3"/>
              </w:rPr>
            </w:pPr>
            <w:r w:rsidRPr="00D93878">
              <w:rPr>
                <w:color w:val="800080" w:themeColor="accent3"/>
              </w:rPr>
              <w:t>308,140,677</w:t>
            </w:r>
          </w:p>
        </w:tc>
        <w:tc>
          <w:tcPr>
            <w:tcW w:w="2610" w:type="dxa"/>
          </w:tcPr>
          <w:p w14:paraId="193DFAFE" w14:textId="5CA9BA10" w:rsidR="009B56F5" w:rsidRPr="00936B73" w:rsidRDefault="00F55BD3" w:rsidP="00E2161A">
            <w:pPr>
              <w:pStyle w:val="TableText"/>
              <w:rPr>
                <w:color w:val="800080" w:themeColor="accent3"/>
              </w:rPr>
            </w:pPr>
            <w:r w:rsidRPr="00F55BD3">
              <w:rPr>
                <w:color w:val="800080" w:themeColor="accent3"/>
              </w:rPr>
              <w:t>22,825,235 (8%)</w:t>
            </w:r>
          </w:p>
        </w:tc>
        <w:tc>
          <w:tcPr>
            <w:tcW w:w="2425" w:type="dxa"/>
          </w:tcPr>
          <w:p w14:paraId="79D2A628" w14:textId="6F627BA3" w:rsidR="009B56F5" w:rsidRPr="00936B73" w:rsidRDefault="00036B45" w:rsidP="00E2161A">
            <w:pPr>
              <w:pStyle w:val="TableText"/>
              <w:rPr>
                <w:color w:val="800080" w:themeColor="accent3"/>
              </w:rPr>
            </w:pPr>
            <w:r w:rsidRPr="00036B45">
              <w:rPr>
                <w:color w:val="800080" w:themeColor="accent3"/>
              </w:rPr>
              <w:t>0 (0%)</w:t>
            </w:r>
          </w:p>
        </w:tc>
      </w:tr>
      <w:tr w:rsidR="00036B45" w:rsidRPr="00936B73" w14:paraId="4933C110" w14:textId="77777777" w:rsidTr="008F60DA">
        <w:trPr>
          <w:cantSplit/>
        </w:trPr>
        <w:tc>
          <w:tcPr>
            <w:tcW w:w="2515" w:type="dxa"/>
          </w:tcPr>
          <w:p w14:paraId="453776C1" w14:textId="00A2D05F" w:rsidR="00036B45" w:rsidRPr="00936B73" w:rsidRDefault="00036B45" w:rsidP="00036B45">
            <w:pPr>
              <w:pStyle w:val="TableText"/>
              <w:rPr>
                <w:color w:val="800080" w:themeColor="accent3"/>
              </w:rPr>
            </w:pPr>
            <w:r>
              <w:rPr>
                <w:color w:val="800080" w:themeColor="accent3"/>
              </w:rPr>
              <w:t xml:space="preserve">2045 No-Build Alternative </w:t>
            </w:r>
          </w:p>
        </w:tc>
        <w:tc>
          <w:tcPr>
            <w:tcW w:w="1800" w:type="dxa"/>
          </w:tcPr>
          <w:p w14:paraId="7BD3A4A0" w14:textId="4DB0E42C" w:rsidR="00036B45" w:rsidRPr="00936B73" w:rsidRDefault="00036B45" w:rsidP="00036B45">
            <w:pPr>
              <w:pStyle w:val="TableText"/>
              <w:rPr>
                <w:color w:val="800080" w:themeColor="accent3"/>
              </w:rPr>
            </w:pPr>
            <w:r w:rsidRPr="00E426FE">
              <w:rPr>
                <w:color w:val="800080" w:themeColor="accent3"/>
              </w:rPr>
              <w:t>363,605,999</w:t>
            </w:r>
          </w:p>
        </w:tc>
        <w:tc>
          <w:tcPr>
            <w:tcW w:w="2610" w:type="dxa"/>
          </w:tcPr>
          <w:p w14:paraId="015F7827" w14:textId="1031D018" w:rsidR="00036B45" w:rsidRPr="00936B73" w:rsidRDefault="00D954D4" w:rsidP="00036B45">
            <w:pPr>
              <w:pStyle w:val="TableText"/>
              <w:rPr>
                <w:color w:val="800080" w:themeColor="accent3"/>
              </w:rPr>
            </w:pPr>
            <w:r w:rsidRPr="00D954D4">
              <w:rPr>
                <w:color w:val="800080" w:themeColor="accent3"/>
              </w:rPr>
              <w:t>78,290,557 (27%)</w:t>
            </w:r>
          </w:p>
        </w:tc>
        <w:tc>
          <w:tcPr>
            <w:tcW w:w="2425" w:type="dxa"/>
          </w:tcPr>
          <w:p w14:paraId="4691248B" w14:textId="6D85F72C" w:rsidR="00036B45" w:rsidRPr="00936B73" w:rsidRDefault="00EE4C07" w:rsidP="00036B45">
            <w:pPr>
              <w:pStyle w:val="TableText"/>
              <w:rPr>
                <w:color w:val="800080" w:themeColor="accent3"/>
              </w:rPr>
            </w:pPr>
            <w:r w:rsidRPr="00A23112">
              <w:rPr>
                <w:color w:val="800080" w:themeColor="accent3"/>
              </w:rPr>
              <w:t>N/A</w:t>
            </w:r>
          </w:p>
        </w:tc>
      </w:tr>
      <w:tr w:rsidR="00036B45" w:rsidRPr="00936B73" w14:paraId="3E888D6B" w14:textId="77777777" w:rsidTr="008F60DA">
        <w:trPr>
          <w:cantSplit/>
        </w:trPr>
        <w:tc>
          <w:tcPr>
            <w:tcW w:w="2515" w:type="dxa"/>
          </w:tcPr>
          <w:p w14:paraId="5FFC2BF3" w14:textId="570E9C41" w:rsidR="00036B45" w:rsidRPr="00936B73" w:rsidRDefault="00036B45" w:rsidP="00036B45">
            <w:pPr>
              <w:pStyle w:val="TableText"/>
              <w:rPr>
                <w:color w:val="800080" w:themeColor="accent3"/>
              </w:rPr>
            </w:pPr>
            <w:r>
              <w:rPr>
                <w:color w:val="800080" w:themeColor="accent3"/>
              </w:rPr>
              <w:t>2045 Alternative 1</w:t>
            </w:r>
          </w:p>
        </w:tc>
        <w:tc>
          <w:tcPr>
            <w:tcW w:w="1800" w:type="dxa"/>
          </w:tcPr>
          <w:p w14:paraId="682EE3F0" w14:textId="7CBD9E12" w:rsidR="00036B45" w:rsidRPr="00936B73" w:rsidRDefault="00036B45" w:rsidP="00036B45">
            <w:pPr>
              <w:pStyle w:val="TableText"/>
              <w:rPr>
                <w:color w:val="800080" w:themeColor="accent3"/>
              </w:rPr>
            </w:pPr>
            <w:r w:rsidRPr="00E426FE">
              <w:rPr>
                <w:color w:val="800080" w:themeColor="accent3"/>
              </w:rPr>
              <w:t>363,605,999</w:t>
            </w:r>
          </w:p>
        </w:tc>
        <w:tc>
          <w:tcPr>
            <w:tcW w:w="2610" w:type="dxa"/>
          </w:tcPr>
          <w:p w14:paraId="69EB6625" w14:textId="77551B36" w:rsidR="00036B45" w:rsidRPr="00936B73" w:rsidRDefault="00D954D4" w:rsidP="00036B45">
            <w:pPr>
              <w:pStyle w:val="TableText"/>
              <w:rPr>
                <w:color w:val="800080" w:themeColor="accent3"/>
              </w:rPr>
            </w:pPr>
            <w:r w:rsidRPr="00D954D4">
              <w:rPr>
                <w:color w:val="800080" w:themeColor="accent3"/>
              </w:rPr>
              <w:t>78,290,557 (27%)</w:t>
            </w:r>
          </w:p>
        </w:tc>
        <w:tc>
          <w:tcPr>
            <w:tcW w:w="2425" w:type="dxa"/>
          </w:tcPr>
          <w:p w14:paraId="06BA923B" w14:textId="1AB23063" w:rsidR="00036B45" w:rsidRPr="00936B73" w:rsidRDefault="00036B45" w:rsidP="00036B45">
            <w:pPr>
              <w:pStyle w:val="TableText"/>
              <w:rPr>
                <w:color w:val="800080" w:themeColor="accent3"/>
              </w:rPr>
            </w:pPr>
            <w:r w:rsidRPr="00036B45">
              <w:rPr>
                <w:color w:val="800080" w:themeColor="accent3"/>
              </w:rPr>
              <w:t>0 (0%)</w:t>
            </w:r>
          </w:p>
        </w:tc>
      </w:tr>
      <w:tr w:rsidR="00036B45" w:rsidRPr="00936B73" w14:paraId="49B9234F" w14:textId="77777777" w:rsidTr="008F60DA">
        <w:trPr>
          <w:cantSplit/>
        </w:trPr>
        <w:tc>
          <w:tcPr>
            <w:tcW w:w="2515" w:type="dxa"/>
          </w:tcPr>
          <w:p w14:paraId="2694CA12" w14:textId="566B2C60" w:rsidR="00036B45" w:rsidRPr="00936B73" w:rsidRDefault="00036B45" w:rsidP="00036B45">
            <w:pPr>
              <w:pStyle w:val="TableText"/>
              <w:rPr>
                <w:color w:val="800080" w:themeColor="accent3"/>
              </w:rPr>
            </w:pPr>
            <w:r>
              <w:rPr>
                <w:color w:val="800080" w:themeColor="accent3"/>
              </w:rPr>
              <w:t>2045 Alternative 2</w:t>
            </w:r>
          </w:p>
        </w:tc>
        <w:tc>
          <w:tcPr>
            <w:tcW w:w="1800" w:type="dxa"/>
          </w:tcPr>
          <w:p w14:paraId="3518D3B4" w14:textId="69D842F5" w:rsidR="00036B45" w:rsidRPr="00936B73" w:rsidRDefault="00036B45" w:rsidP="00036B45">
            <w:pPr>
              <w:pStyle w:val="TableText"/>
              <w:rPr>
                <w:color w:val="800080" w:themeColor="accent3"/>
              </w:rPr>
            </w:pPr>
            <w:r w:rsidRPr="00E426FE">
              <w:rPr>
                <w:color w:val="800080" w:themeColor="accent3"/>
              </w:rPr>
              <w:t>363,605,999</w:t>
            </w:r>
          </w:p>
        </w:tc>
        <w:tc>
          <w:tcPr>
            <w:tcW w:w="2610" w:type="dxa"/>
          </w:tcPr>
          <w:p w14:paraId="147E7EF4" w14:textId="5D06662C" w:rsidR="00036B45" w:rsidRPr="00936B73" w:rsidRDefault="00D954D4" w:rsidP="00036B45">
            <w:pPr>
              <w:pStyle w:val="TableText"/>
              <w:rPr>
                <w:color w:val="800080" w:themeColor="accent3"/>
              </w:rPr>
            </w:pPr>
            <w:r w:rsidRPr="00D954D4">
              <w:rPr>
                <w:color w:val="800080" w:themeColor="accent3"/>
              </w:rPr>
              <w:t>78,290,557 (27%)</w:t>
            </w:r>
          </w:p>
        </w:tc>
        <w:tc>
          <w:tcPr>
            <w:tcW w:w="2425" w:type="dxa"/>
          </w:tcPr>
          <w:p w14:paraId="53D912F5" w14:textId="40F6FDDD" w:rsidR="00036B45" w:rsidRPr="00936B73" w:rsidRDefault="00036B45" w:rsidP="00036B45">
            <w:pPr>
              <w:pStyle w:val="TableText"/>
              <w:rPr>
                <w:color w:val="800080" w:themeColor="accent3"/>
              </w:rPr>
            </w:pPr>
            <w:r w:rsidRPr="00036B45">
              <w:rPr>
                <w:color w:val="800080" w:themeColor="accent3"/>
              </w:rPr>
              <w:t>0 (0%)</w:t>
            </w:r>
          </w:p>
        </w:tc>
      </w:tr>
    </w:tbl>
    <w:p w14:paraId="61825C93" w14:textId="77777777" w:rsidR="009B56F5" w:rsidRDefault="009B56F5" w:rsidP="009B56F5">
      <w:pPr>
        <w:pStyle w:val="TableText"/>
        <w:rPr>
          <w:color w:val="800080" w:themeColor="accent3"/>
        </w:rPr>
      </w:pPr>
      <w:r w:rsidRPr="00936B73">
        <w:rPr>
          <w:color w:val="800080" w:themeColor="accent3"/>
        </w:rPr>
        <w:t>Source: Traffic Consultants 2023</w:t>
      </w:r>
    </w:p>
    <w:p w14:paraId="61266478" w14:textId="47684074" w:rsidR="009B56F5" w:rsidRDefault="007D03FB" w:rsidP="00C45818">
      <w:pPr>
        <w:pStyle w:val="TableText"/>
        <w:rPr>
          <w:color w:val="800080" w:themeColor="accent3"/>
        </w:rPr>
      </w:pPr>
      <w:r w:rsidRPr="007D03FB">
        <w:rPr>
          <w:color w:val="800080" w:themeColor="accent3"/>
        </w:rPr>
        <w:t>Note: Refer to Appendix A for VMT data by 5 mph speed increments</w:t>
      </w:r>
      <w:r w:rsidR="00C45818">
        <w:rPr>
          <w:color w:val="800080" w:themeColor="accent3"/>
        </w:rPr>
        <w:t xml:space="preserve">; </w:t>
      </w:r>
      <w:r w:rsidR="00EE4C07" w:rsidRPr="00EE4C07">
        <w:rPr>
          <w:color w:val="800080" w:themeColor="accent3"/>
        </w:rPr>
        <w:t>N/A</w:t>
      </w:r>
      <w:r w:rsidR="00EE4C07" w:rsidRPr="00EE4C07" w:rsidDel="00EE4C07">
        <w:rPr>
          <w:color w:val="800080" w:themeColor="accent3"/>
        </w:rPr>
        <w:t xml:space="preserve"> </w:t>
      </w:r>
      <w:r w:rsidR="004E5FA9" w:rsidRPr="004E5FA9">
        <w:rPr>
          <w:color w:val="800080" w:themeColor="accent3"/>
        </w:rPr>
        <w:t>= comparison not applicable</w:t>
      </w:r>
      <w:r w:rsidR="00C45818">
        <w:rPr>
          <w:color w:val="800080" w:themeColor="accent3"/>
        </w:rPr>
        <w:t>.</w:t>
      </w:r>
      <w:r w:rsidR="004E5FA9" w:rsidRPr="004E5FA9">
        <w:rPr>
          <w:color w:val="800080" w:themeColor="accent3"/>
        </w:rPr>
        <w:t xml:space="preserve"> </w:t>
      </w:r>
    </w:p>
    <w:p w14:paraId="5C2A0F6B" w14:textId="77777777" w:rsidR="00C45818" w:rsidRPr="00936B73" w:rsidRDefault="00C45818" w:rsidP="0093673A">
      <w:pPr>
        <w:pStyle w:val="TableText"/>
        <w:rPr>
          <w:color w:val="800080" w:themeColor="accent3"/>
        </w:rPr>
      </w:pPr>
    </w:p>
    <w:p w14:paraId="12965D3E" w14:textId="3C37C4C4" w:rsidR="00763C50" w:rsidRPr="00763C50" w:rsidRDefault="00763C50" w:rsidP="00763C50">
      <w:pPr>
        <w:rPr>
          <w:color w:val="800080" w:themeColor="accent3"/>
        </w:rPr>
      </w:pPr>
      <w:r w:rsidRPr="00763C50">
        <w:rPr>
          <w:color w:val="800080" w:themeColor="accent3"/>
        </w:rPr>
        <w:t>Vehicle fuel consumption for the analysis conditions was estimated based on vehicle types (e.g., automobiles, light-duty trucks) traveling within the project area using the CT-EMFAC2021 model, which relies on emission factors from the EMFAC2021 model</w:t>
      </w:r>
      <w:r w:rsidR="00851223" w:rsidRPr="00763C50">
        <w:rPr>
          <w:color w:val="800080" w:themeColor="accent3"/>
        </w:rPr>
        <w:t xml:space="preserve">.  </w:t>
      </w:r>
      <w:r w:rsidRPr="00763C50">
        <w:rPr>
          <w:color w:val="800080" w:themeColor="accent3"/>
        </w:rPr>
        <w:lastRenderedPageBreak/>
        <w:t>Annual gallons of gasoline and diesel fuel and annual kWh of electricity consumption were directly obtained from the CT-EMFAC2021 model output</w:t>
      </w:r>
      <w:r w:rsidR="00851223" w:rsidRPr="00763C50">
        <w:rPr>
          <w:color w:val="800080" w:themeColor="accent3"/>
        </w:rPr>
        <w:t xml:space="preserve">.  </w:t>
      </w:r>
      <w:r w:rsidRPr="00763C50">
        <w:rPr>
          <w:color w:val="800080" w:themeColor="accent3"/>
        </w:rPr>
        <w:t>CT-EMFAC2021 reports natural gas in terms of DEG</w:t>
      </w:r>
      <w:r w:rsidR="00851223" w:rsidRPr="00763C50">
        <w:rPr>
          <w:color w:val="800080" w:themeColor="accent3"/>
        </w:rPr>
        <w:t xml:space="preserve">.  </w:t>
      </w:r>
      <w:r w:rsidRPr="00763C50">
        <w:rPr>
          <w:color w:val="800080" w:themeColor="accent3"/>
        </w:rPr>
        <w:t>A DEG has an equivalent energy content to a gallon of diesel fuel</w:t>
      </w:r>
      <w:r w:rsidR="00851223" w:rsidRPr="00763C50">
        <w:rPr>
          <w:color w:val="800080" w:themeColor="accent3"/>
        </w:rPr>
        <w:t xml:space="preserve">.  </w:t>
      </w:r>
      <w:r w:rsidRPr="00763C50">
        <w:rPr>
          <w:color w:val="800080" w:themeColor="accent3"/>
        </w:rPr>
        <w:t xml:space="preserve">The CT-EMFAC2021 reported annual DEG of natural gas was converted to </w:t>
      </w:r>
      <w:proofErr w:type="spellStart"/>
      <w:r w:rsidRPr="00763C50">
        <w:rPr>
          <w:color w:val="800080" w:themeColor="accent3"/>
        </w:rPr>
        <w:t>scf</w:t>
      </w:r>
      <w:proofErr w:type="spellEnd"/>
      <w:r w:rsidRPr="00763C50">
        <w:rPr>
          <w:color w:val="800080" w:themeColor="accent3"/>
        </w:rPr>
        <w:t xml:space="preserve"> using a conversion factor of 144 </w:t>
      </w:r>
      <w:proofErr w:type="spellStart"/>
      <w:r w:rsidRPr="00763C50">
        <w:rPr>
          <w:color w:val="800080" w:themeColor="accent3"/>
        </w:rPr>
        <w:t>scf</w:t>
      </w:r>
      <w:proofErr w:type="spellEnd"/>
      <w:r w:rsidRPr="00763C50">
        <w:rPr>
          <w:color w:val="800080" w:themeColor="accent3"/>
        </w:rPr>
        <w:t xml:space="preserve"> per DEG (</w:t>
      </w:r>
      <w:r w:rsidR="00412315">
        <w:rPr>
          <w:color w:val="800080" w:themeColor="accent3"/>
        </w:rPr>
        <w:t>Caltrans</w:t>
      </w:r>
      <w:r w:rsidRPr="00763C50">
        <w:rPr>
          <w:color w:val="800080" w:themeColor="accent3"/>
        </w:rPr>
        <w:t xml:space="preserve"> 2021)</w:t>
      </w:r>
      <w:r w:rsidR="00851223" w:rsidRPr="00763C50">
        <w:rPr>
          <w:color w:val="800080" w:themeColor="accent3"/>
        </w:rPr>
        <w:t xml:space="preserve">.  </w:t>
      </w:r>
      <w:r w:rsidRPr="00763C50">
        <w:rPr>
          <w:color w:val="800080" w:themeColor="accent3"/>
        </w:rPr>
        <w:t>Table 4-3 presents the estimated direct fuel consumption for the analysis conditions</w:t>
      </w:r>
      <w:r w:rsidR="00851223" w:rsidRPr="00763C50">
        <w:rPr>
          <w:color w:val="800080" w:themeColor="accent3"/>
        </w:rPr>
        <w:t xml:space="preserve">.  </w:t>
      </w:r>
      <w:r w:rsidRPr="00763C50">
        <w:rPr>
          <w:color w:val="800080" w:themeColor="accent3"/>
        </w:rPr>
        <w:t xml:space="preserve">Refer to Appendix B for the CT-EMFAC2021 model output. </w:t>
      </w:r>
    </w:p>
    <w:p w14:paraId="23AF245E" w14:textId="5F315E3A" w:rsidR="00763C50" w:rsidRPr="00936B73" w:rsidRDefault="004F24C2" w:rsidP="00763C50">
      <w:pPr>
        <w:pStyle w:val="TableTitle"/>
        <w:rPr>
          <w:color w:val="800080" w:themeColor="accent3"/>
        </w:rPr>
      </w:pPr>
      <w:bookmarkStart w:id="127" w:name="_Toc157429611"/>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3</w:t>
      </w:r>
      <w:r w:rsidRPr="004F24C2">
        <w:rPr>
          <w:noProof/>
          <w:color w:val="800080" w:themeColor="accent3"/>
        </w:rPr>
        <w:fldChar w:fldCharType="end"/>
      </w:r>
      <w:r w:rsidRPr="004F24C2">
        <w:rPr>
          <w:color w:val="800080" w:themeColor="accent3"/>
        </w:rPr>
        <w:t xml:space="preserve">: </w:t>
      </w:r>
      <w:r w:rsidR="00A30F85" w:rsidRPr="00A30F85">
        <w:rPr>
          <w:color w:val="800080" w:themeColor="accent3"/>
        </w:rPr>
        <w:t>Annual Vehicle Fuel and Electricity Consumption by Alternative and Study Year</w:t>
      </w:r>
      <w:bookmarkEnd w:id="127"/>
    </w:p>
    <w:tbl>
      <w:tblPr>
        <w:tblStyle w:val="TableGrid"/>
        <w:tblW w:w="9621" w:type="dxa"/>
        <w:tblLook w:val="0020" w:firstRow="1" w:lastRow="0" w:firstColumn="0" w:lastColumn="0" w:noHBand="0" w:noVBand="0"/>
        <w:tblCaption w:val="Annual Vehicle Fuel and Electricity Consumption by Alternative and Study Year"/>
        <w:tblDescription w:val="A table with example results for gasoline, diesel, natural gas, and electricity consumption for each alternative and study year."/>
      </w:tblPr>
      <w:tblGrid>
        <w:gridCol w:w="2774"/>
        <w:gridCol w:w="1901"/>
        <w:gridCol w:w="1800"/>
        <w:gridCol w:w="1530"/>
        <w:gridCol w:w="1616"/>
      </w:tblGrid>
      <w:tr w:rsidR="00A30F85" w:rsidRPr="00936B73" w14:paraId="45994106" w14:textId="45133B14" w:rsidTr="00A30F85">
        <w:trPr>
          <w:cantSplit/>
          <w:trHeight w:val="548"/>
        </w:trPr>
        <w:tc>
          <w:tcPr>
            <w:tcW w:w="2774" w:type="dxa"/>
          </w:tcPr>
          <w:p w14:paraId="1112F8C1" w14:textId="77777777" w:rsidR="00A30F85" w:rsidRPr="00936B73" w:rsidRDefault="00A30F85" w:rsidP="00E2161A">
            <w:pPr>
              <w:pStyle w:val="TableHeading"/>
              <w:rPr>
                <w:color w:val="800080" w:themeColor="accent3"/>
              </w:rPr>
            </w:pPr>
            <w:r>
              <w:rPr>
                <w:color w:val="800080" w:themeColor="accent3"/>
              </w:rPr>
              <w:t>Alternative and Study Year</w:t>
            </w:r>
          </w:p>
        </w:tc>
        <w:tc>
          <w:tcPr>
            <w:tcW w:w="1901" w:type="dxa"/>
          </w:tcPr>
          <w:p w14:paraId="2C919A5D" w14:textId="77777777" w:rsidR="00A30F85" w:rsidRDefault="00A30F85" w:rsidP="00E2161A">
            <w:pPr>
              <w:pStyle w:val="TableHeading"/>
              <w:rPr>
                <w:color w:val="800080" w:themeColor="accent3"/>
              </w:rPr>
            </w:pPr>
            <w:r>
              <w:rPr>
                <w:color w:val="800080" w:themeColor="accent3"/>
              </w:rPr>
              <w:t>Gasoline</w:t>
            </w:r>
          </w:p>
          <w:p w14:paraId="1FDDB17C" w14:textId="2EED269C" w:rsidR="00A30F85" w:rsidRPr="00936B73" w:rsidRDefault="00A30F85" w:rsidP="00E2161A">
            <w:pPr>
              <w:pStyle w:val="TableHeading"/>
              <w:rPr>
                <w:color w:val="800080" w:themeColor="accent3"/>
              </w:rPr>
            </w:pPr>
            <w:r>
              <w:rPr>
                <w:color w:val="800080" w:themeColor="accent3"/>
              </w:rPr>
              <w:t>(million gallons)</w:t>
            </w:r>
          </w:p>
        </w:tc>
        <w:tc>
          <w:tcPr>
            <w:tcW w:w="1800" w:type="dxa"/>
          </w:tcPr>
          <w:p w14:paraId="5EE4EC86" w14:textId="77777777" w:rsidR="00A30F85" w:rsidRDefault="00A30F85" w:rsidP="00E2161A">
            <w:pPr>
              <w:pStyle w:val="TableHeading"/>
              <w:rPr>
                <w:color w:val="800080" w:themeColor="accent3"/>
              </w:rPr>
            </w:pPr>
            <w:r>
              <w:rPr>
                <w:color w:val="800080" w:themeColor="accent3"/>
              </w:rPr>
              <w:t>Diesel</w:t>
            </w:r>
          </w:p>
          <w:p w14:paraId="16EEA812" w14:textId="0F52BDEE" w:rsidR="00A30F85" w:rsidRPr="00936B73" w:rsidRDefault="00A30F85" w:rsidP="00E2161A">
            <w:pPr>
              <w:pStyle w:val="TableHeading"/>
              <w:rPr>
                <w:color w:val="800080" w:themeColor="accent3"/>
              </w:rPr>
            </w:pPr>
            <w:r>
              <w:rPr>
                <w:color w:val="800080" w:themeColor="accent3"/>
              </w:rPr>
              <w:t>(million gallons)</w:t>
            </w:r>
          </w:p>
        </w:tc>
        <w:tc>
          <w:tcPr>
            <w:tcW w:w="1530" w:type="dxa"/>
          </w:tcPr>
          <w:p w14:paraId="3BFFBC11" w14:textId="77777777" w:rsidR="00A30F85" w:rsidRDefault="00A30F85" w:rsidP="00E2161A">
            <w:pPr>
              <w:pStyle w:val="TableHeading"/>
              <w:rPr>
                <w:color w:val="800080" w:themeColor="accent3"/>
              </w:rPr>
            </w:pPr>
            <w:r>
              <w:rPr>
                <w:color w:val="800080" w:themeColor="accent3"/>
              </w:rPr>
              <w:t>Natural Gas</w:t>
            </w:r>
          </w:p>
          <w:p w14:paraId="5CB27758" w14:textId="2B27EF8D" w:rsidR="00A30F85" w:rsidRPr="00936B73" w:rsidRDefault="00A30F85" w:rsidP="00E2161A">
            <w:pPr>
              <w:pStyle w:val="TableHeading"/>
              <w:rPr>
                <w:color w:val="800080" w:themeColor="accent3"/>
              </w:rPr>
            </w:pPr>
            <w:r>
              <w:rPr>
                <w:color w:val="800080" w:themeColor="accent3"/>
              </w:rPr>
              <w:t xml:space="preserve">(million </w:t>
            </w:r>
            <w:proofErr w:type="spellStart"/>
            <w:r>
              <w:rPr>
                <w:color w:val="800080" w:themeColor="accent3"/>
              </w:rPr>
              <w:t>scf</w:t>
            </w:r>
            <w:proofErr w:type="spellEnd"/>
            <w:r>
              <w:rPr>
                <w:color w:val="800080" w:themeColor="accent3"/>
              </w:rPr>
              <w:t>)</w:t>
            </w:r>
          </w:p>
        </w:tc>
        <w:tc>
          <w:tcPr>
            <w:tcW w:w="1616" w:type="dxa"/>
          </w:tcPr>
          <w:p w14:paraId="0DCE4423" w14:textId="77D6BE2C" w:rsidR="00A30F85" w:rsidRDefault="00A30F85" w:rsidP="00E2161A">
            <w:pPr>
              <w:pStyle w:val="TableHeading"/>
              <w:rPr>
                <w:color w:val="800080" w:themeColor="accent3"/>
              </w:rPr>
            </w:pPr>
            <w:r>
              <w:rPr>
                <w:color w:val="800080" w:themeColor="accent3"/>
              </w:rPr>
              <w:t>Electricity (million kWh)</w:t>
            </w:r>
          </w:p>
        </w:tc>
      </w:tr>
      <w:tr w:rsidR="00A30F85" w:rsidRPr="00936B73" w14:paraId="699EE58C" w14:textId="46FE2161" w:rsidTr="00A30F85">
        <w:trPr>
          <w:cantSplit/>
          <w:trHeight w:val="273"/>
        </w:trPr>
        <w:tc>
          <w:tcPr>
            <w:tcW w:w="2774" w:type="dxa"/>
          </w:tcPr>
          <w:p w14:paraId="23606171" w14:textId="10D4C8BE" w:rsidR="00A30F85" w:rsidRPr="00936B73" w:rsidRDefault="00A30F85" w:rsidP="00E2161A">
            <w:pPr>
              <w:pStyle w:val="TableText"/>
              <w:rPr>
                <w:color w:val="800080" w:themeColor="accent3"/>
              </w:rPr>
            </w:pPr>
            <w:r>
              <w:rPr>
                <w:color w:val="800080" w:themeColor="accent3"/>
              </w:rPr>
              <w:t>202</w:t>
            </w:r>
            <w:r w:rsidR="00A80868">
              <w:rPr>
                <w:color w:val="800080" w:themeColor="accent3"/>
              </w:rPr>
              <w:t>3</w:t>
            </w:r>
            <w:r>
              <w:rPr>
                <w:color w:val="800080" w:themeColor="accent3"/>
              </w:rPr>
              <w:t xml:space="preserve"> Existing Conditions</w:t>
            </w:r>
          </w:p>
        </w:tc>
        <w:tc>
          <w:tcPr>
            <w:tcW w:w="1901" w:type="dxa"/>
          </w:tcPr>
          <w:p w14:paraId="4386F2DC" w14:textId="203E8699" w:rsidR="00A30F85" w:rsidRPr="00936B73" w:rsidRDefault="00A30F85" w:rsidP="00E2161A">
            <w:pPr>
              <w:pStyle w:val="TableText"/>
              <w:rPr>
                <w:color w:val="800080" w:themeColor="accent3"/>
              </w:rPr>
            </w:pPr>
            <w:r>
              <w:rPr>
                <w:color w:val="800080" w:themeColor="accent3"/>
              </w:rPr>
              <w:t>13</w:t>
            </w:r>
          </w:p>
        </w:tc>
        <w:tc>
          <w:tcPr>
            <w:tcW w:w="1800" w:type="dxa"/>
          </w:tcPr>
          <w:p w14:paraId="2B1FAE5A" w14:textId="211D0AD4" w:rsidR="00A30F85" w:rsidRPr="00936B73" w:rsidRDefault="00A30F85" w:rsidP="00E2161A">
            <w:pPr>
              <w:pStyle w:val="TableText"/>
              <w:rPr>
                <w:color w:val="800080" w:themeColor="accent3"/>
              </w:rPr>
            </w:pPr>
            <w:r>
              <w:rPr>
                <w:color w:val="800080" w:themeColor="accent3"/>
              </w:rPr>
              <w:t>33</w:t>
            </w:r>
          </w:p>
        </w:tc>
        <w:tc>
          <w:tcPr>
            <w:tcW w:w="1530" w:type="dxa"/>
          </w:tcPr>
          <w:p w14:paraId="797070A8" w14:textId="5D5B382E" w:rsidR="00A30F85" w:rsidRPr="00936B73" w:rsidRDefault="00A30F85" w:rsidP="00E2161A">
            <w:pPr>
              <w:pStyle w:val="TableText"/>
              <w:rPr>
                <w:color w:val="800080" w:themeColor="accent3"/>
              </w:rPr>
            </w:pPr>
            <w:r>
              <w:rPr>
                <w:color w:val="800080" w:themeColor="accent3"/>
              </w:rPr>
              <w:t>8,144</w:t>
            </w:r>
          </w:p>
        </w:tc>
        <w:tc>
          <w:tcPr>
            <w:tcW w:w="1616" w:type="dxa"/>
          </w:tcPr>
          <w:p w14:paraId="1E537343" w14:textId="07A1A764" w:rsidR="00A30F85" w:rsidRPr="00936B73" w:rsidRDefault="00A30F85" w:rsidP="00E2161A">
            <w:pPr>
              <w:pStyle w:val="TableText"/>
              <w:rPr>
                <w:color w:val="800080" w:themeColor="accent3"/>
              </w:rPr>
            </w:pPr>
            <w:r>
              <w:rPr>
                <w:color w:val="800080" w:themeColor="accent3"/>
              </w:rPr>
              <w:t>79</w:t>
            </w:r>
          </w:p>
        </w:tc>
      </w:tr>
      <w:tr w:rsidR="00A30F85" w:rsidRPr="00936B73" w14:paraId="5C4786E7" w14:textId="7DA9EFE6" w:rsidTr="00A30F85">
        <w:trPr>
          <w:cantSplit/>
          <w:trHeight w:val="273"/>
        </w:trPr>
        <w:tc>
          <w:tcPr>
            <w:tcW w:w="2774" w:type="dxa"/>
          </w:tcPr>
          <w:p w14:paraId="0FD92A44" w14:textId="77777777" w:rsidR="00A30F85" w:rsidRPr="00936B73" w:rsidRDefault="00A30F85" w:rsidP="00E2161A">
            <w:pPr>
              <w:pStyle w:val="TableText"/>
              <w:rPr>
                <w:color w:val="800080" w:themeColor="accent3"/>
              </w:rPr>
            </w:pPr>
            <w:r>
              <w:rPr>
                <w:color w:val="800080" w:themeColor="accent3"/>
              </w:rPr>
              <w:t xml:space="preserve">2025 No-Build Alternative </w:t>
            </w:r>
          </w:p>
        </w:tc>
        <w:tc>
          <w:tcPr>
            <w:tcW w:w="1901" w:type="dxa"/>
          </w:tcPr>
          <w:p w14:paraId="19373697" w14:textId="3894D9F6" w:rsidR="00A30F85" w:rsidRPr="00936B73" w:rsidRDefault="00A30F85" w:rsidP="00E2161A">
            <w:pPr>
              <w:pStyle w:val="TableText"/>
              <w:rPr>
                <w:color w:val="800080" w:themeColor="accent3"/>
              </w:rPr>
            </w:pPr>
            <w:r>
              <w:rPr>
                <w:color w:val="800080" w:themeColor="accent3"/>
              </w:rPr>
              <w:t>13</w:t>
            </w:r>
          </w:p>
        </w:tc>
        <w:tc>
          <w:tcPr>
            <w:tcW w:w="1800" w:type="dxa"/>
          </w:tcPr>
          <w:p w14:paraId="7636080F" w14:textId="7BB8F4C2" w:rsidR="00A30F85" w:rsidRPr="00936B73" w:rsidRDefault="00A30F85" w:rsidP="00E2161A">
            <w:pPr>
              <w:pStyle w:val="TableText"/>
              <w:rPr>
                <w:color w:val="800080" w:themeColor="accent3"/>
              </w:rPr>
            </w:pPr>
            <w:r>
              <w:rPr>
                <w:color w:val="800080" w:themeColor="accent3"/>
              </w:rPr>
              <w:t>34</w:t>
            </w:r>
          </w:p>
        </w:tc>
        <w:tc>
          <w:tcPr>
            <w:tcW w:w="1530" w:type="dxa"/>
          </w:tcPr>
          <w:p w14:paraId="11E0130D" w14:textId="63EDECB4" w:rsidR="00A30F85" w:rsidRPr="00936B73" w:rsidRDefault="00A30F85" w:rsidP="00E2161A">
            <w:pPr>
              <w:pStyle w:val="TableText"/>
              <w:rPr>
                <w:color w:val="800080" w:themeColor="accent3"/>
              </w:rPr>
            </w:pPr>
            <w:r>
              <w:rPr>
                <w:color w:val="800080" w:themeColor="accent3"/>
              </w:rPr>
              <w:t>8,330</w:t>
            </w:r>
          </w:p>
        </w:tc>
        <w:tc>
          <w:tcPr>
            <w:tcW w:w="1616" w:type="dxa"/>
          </w:tcPr>
          <w:p w14:paraId="7B65407B" w14:textId="7D9C9753" w:rsidR="00A30F85" w:rsidRPr="00936B73" w:rsidRDefault="00A30F85" w:rsidP="00E2161A">
            <w:pPr>
              <w:pStyle w:val="TableText"/>
              <w:rPr>
                <w:color w:val="800080" w:themeColor="accent3"/>
              </w:rPr>
            </w:pPr>
            <w:r>
              <w:rPr>
                <w:color w:val="800080" w:themeColor="accent3"/>
              </w:rPr>
              <w:t>97</w:t>
            </w:r>
          </w:p>
        </w:tc>
      </w:tr>
      <w:tr w:rsidR="00A30F85" w:rsidRPr="00936B73" w14:paraId="01672D15" w14:textId="366A179B" w:rsidTr="00A30F85">
        <w:trPr>
          <w:cantSplit/>
          <w:trHeight w:val="273"/>
        </w:trPr>
        <w:tc>
          <w:tcPr>
            <w:tcW w:w="2774" w:type="dxa"/>
          </w:tcPr>
          <w:p w14:paraId="3F0F3A10" w14:textId="77777777" w:rsidR="00A30F85" w:rsidRPr="00936B73" w:rsidRDefault="00A30F85" w:rsidP="00E2161A">
            <w:pPr>
              <w:pStyle w:val="TableText"/>
              <w:rPr>
                <w:color w:val="800080" w:themeColor="accent3"/>
              </w:rPr>
            </w:pPr>
            <w:r>
              <w:rPr>
                <w:color w:val="800080" w:themeColor="accent3"/>
              </w:rPr>
              <w:t>2025 Alternative 1</w:t>
            </w:r>
          </w:p>
        </w:tc>
        <w:tc>
          <w:tcPr>
            <w:tcW w:w="1901" w:type="dxa"/>
          </w:tcPr>
          <w:p w14:paraId="4633521A" w14:textId="1533A0FF" w:rsidR="00A30F85" w:rsidRPr="00936B73" w:rsidRDefault="00A30F85" w:rsidP="00E2161A">
            <w:pPr>
              <w:pStyle w:val="TableText"/>
              <w:rPr>
                <w:color w:val="800080" w:themeColor="accent3"/>
              </w:rPr>
            </w:pPr>
            <w:r>
              <w:rPr>
                <w:color w:val="800080" w:themeColor="accent3"/>
              </w:rPr>
              <w:t>13</w:t>
            </w:r>
          </w:p>
        </w:tc>
        <w:tc>
          <w:tcPr>
            <w:tcW w:w="1800" w:type="dxa"/>
          </w:tcPr>
          <w:p w14:paraId="39E18491" w14:textId="753A7A29" w:rsidR="00A30F85" w:rsidRPr="00936B73" w:rsidRDefault="00A30F85" w:rsidP="00E2161A">
            <w:pPr>
              <w:pStyle w:val="TableText"/>
              <w:rPr>
                <w:color w:val="800080" w:themeColor="accent3"/>
              </w:rPr>
            </w:pPr>
            <w:r>
              <w:rPr>
                <w:color w:val="800080" w:themeColor="accent3"/>
              </w:rPr>
              <w:t>33</w:t>
            </w:r>
          </w:p>
        </w:tc>
        <w:tc>
          <w:tcPr>
            <w:tcW w:w="1530" w:type="dxa"/>
          </w:tcPr>
          <w:p w14:paraId="1BA76F57" w14:textId="53B3AA19" w:rsidR="00A30F85" w:rsidRPr="00936B73" w:rsidRDefault="00A30F85" w:rsidP="00E2161A">
            <w:pPr>
              <w:pStyle w:val="TableText"/>
              <w:rPr>
                <w:color w:val="800080" w:themeColor="accent3"/>
              </w:rPr>
            </w:pPr>
            <w:r>
              <w:rPr>
                <w:color w:val="800080" w:themeColor="accent3"/>
              </w:rPr>
              <w:t>8,247</w:t>
            </w:r>
          </w:p>
        </w:tc>
        <w:tc>
          <w:tcPr>
            <w:tcW w:w="1616" w:type="dxa"/>
          </w:tcPr>
          <w:p w14:paraId="1F1854C6" w14:textId="200680FB" w:rsidR="00A30F85" w:rsidRPr="00936B73" w:rsidRDefault="00A30F85" w:rsidP="00E2161A">
            <w:pPr>
              <w:pStyle w:val="TableText"/>
              <w:rPr>
                <w:color w:val="800080" w:themeColor="accent3"/>
              </w:rPr>
            </w:pPr>
            <w:r>
              <w:rPr>
                <w:color w:val="800080" w:themeColor="accent3"/>
              </w:rPr>
              <w:t>96</w:t>
            </w:r>
          </w:p>
        </w:tc>
      </w:tr>
      <w:tr w:rsidR="00A30F85" w:rsidRPr="00936B73" w14:paraId="65CE1C66" w14:textId="63E0CFF7" w:rsidTr="00A30F85">
        <w:trPr>
          <w:cantSplit/>
          <w:trHeight w:val="273"/>
        </w:trPr>
        <w:tc>
          <w:tcPr>
            <w:tcW w:w="2774" w:type="dxa"/>
          </w:tcPr>
          <w:p w14:paraId="6E393540" w14:textId="77777777" w:rsidR="00A30F85" w:rsidRPr="00936B73" w:rsidRDefault="00A30F85" w:rsidP="00E2161A">
            <w:pPr>
              <w:pStyle w:val="TableText"/>
              <w:rPr>
                <w:color w:val="800080" w:themeColor="accent3"/>
              </w:rPr>
            </w:pPr>
            <w:r>
              <w:rPr>
                <w:color w:val="800080" w:themeColor="accent3"/>
              </w:rPr>
              <w:t>2025 Alternative 2</w:t>
            </w:r>
          </w:p>
        </w:tc>
        <w:tc>
          <w:tcPr>
            <w:tcW w:w="1901" w:type="dxa"/>
          </w:tcPr>
          <w:p w14:paraId="23BCC20D" w14:textId="32055D64" w:rsidR="00A30F85" w:rsidRPr="00936B73" w:rsidRDefault="00A30F85" w:rsidP="00E2161A">
            <w:pPr>
              <w:pStyle w:val="TableText"/>
              <w:rPr>
                <w:color w:val="800080" w:themeColor="accent3"/>
              </w:rPr>
            </w:pPr>
            <w:r>
              <w:rPr>
                <w:color w:val="800080" w:themeColor="accent3"/>
              </w:rPr>
              <w:t>13</w:t>
            </w:r>
          </w:p>
        </w:tc>
        <w:tc>
          <w:tcPr>
            <w:tcW w:w="1800" w:type="dxa"/>
          </w:tcPr>
          <w:p w14:paraId="1B6D3E06" w14:textId="04B88038" w:rsidR="00A30F85" w:rsidRPr="00936B73" w:rsidRDefault="00A30F85" w:rsidP="00E2161A">
            <w:pPr>
              <w:pStyle w:val="TableText"/>
              <w:rPr>
                <w:color w:val="800080" w:themeColor="accent3"/>
              </w:rPr>
            </w:pPr>
            <w:r>
              <w:rPr>
                <w:color w:val="800080" w:themeColor="accent3"/>
              </w:rPr>
              <w:t>33</w:t>
            </w:r>
          </w:p>
        </w:tc>
        <w:tc>
          <w:tcPr>
            <w:tcW w:w="1530" w:type="dxa"/>
          </w:tcPr>
          <w:p w14:paraId="48F122BA" w14:textId="1A448957" w:rsidR="00A30F85" w:rsidRPr="00936B73" w:rsidRDefault="00A30F85" w:rsidP="00E2161A">
            <w:pPr>
              <w:pStyle w:val="TableText"/>
              <w:rPr>
                <w:color w:val="800080" w:themeColor="accent3"/>
              </w:rPr>
            </w:pPr>
            <w:r>
              <w:rPr>
                <w:color w:val="800080" w:themeColor="accent3"/>
              </w:rPr>
              <w:t>8,246</w:t>
            </w:r>
          </w:p>
        </w:tc>
        <w:tc>
          <w:tcPr>
            <w:tcW w:w="1616" w:type="dxa"/>
          </w:tcPr>
          <w:p w14:paraId="429734D6" w14:textId="684919A6" w:rsidR="00A30F85" w:rsidRPr="00936B73" w:rsidRDefault="00A30F85" w:rsidP="00E2161A">
            <w:pPr>
              <w:pStyle w:val="TableText"/>
              <w:rPr>
                <w:color w:val="800080" w:themeColor="accent3"/>
              </w:rPr>
            </w:pPr>
            <w:r>
              <w:rPr>
                <w:color w:val="800080" w:themeColor="accent3"/>
              </w:rPr>
              <w:t>96</w:t>
            </w:r>
          </w:p>
        </w:tc>
      </w:tr>
      <w:tr w:rsidR="00A30F85" w:rsidRPr="00936B73" w14:paraId="3DB265FC" w14:textId="64B04097" w:rsidTr="00A30F85">
        <w:trPr>
          <w:cantSplit/>
          <w:trHeight w:val="273"/>
        </w:trPr>
        <w:tc>
          <w:tcPr>
            <w:tcW w:w="2774" w:type="dxa"/>
          </w:tcPr>
          <w:p w14:paraId="2F24654C" w14:textId="77777777" w:rsidR="00A30F85" w:rsidRPr="00936B73" w:rsidRDefault="00A30F85" w:rsidP="00E2161A">
            <w:pPr>
              <w:pStyle w:val="TableText"/>
              <w:rPr>
                <w:color w:val="800080" w:themeColor="accent3"/>
              </w:rPr>
            </w:pPr>
            <w:r>
              <w:rPr>
                <w:color w:val="800080" w:themeColor="accent3"/>
              </w:rPr>
              <w:t xml:space="preserve">2045 No-Build Alternative </w:t>
            </w:r>
          </w:p>
        </w:tc>
        <w:tc>
          <w:tcPr>
            <w:tcW w:w="1901" w:type="dxa"/>
          </w:tcPr>
          <w:p w14:paraId="224EF232" w14:textId="35687F92" w:rsidR="00A30F85" w:rsidRPr="00936B73" w:rsidRDefault="00A30F85" w:rsidP="00E2161A">
            <w:pPr>
              <w:pStyle w:val="TableText"/>
              <w:rPr>
                <w:color w:val="800080" w:themeColor="accent3"/>
              </w:rPr>
            </w:pPr>
            <w:r>
              <w:rPr>
                <w:color w:val="800080" w:themeColor="accent3"/>
              </w:rPr>
              <w:t>12</w:t>
            </w:r>
          </w:p>
        </w:tc>
        <w:tc>
          <w:tcPr>
            <w:tcW w:w="1800" w:type="dxa"/>
          </w:tcPr>
          <w:p w14:paraId="49AE3CFC" w14:textId="00C12C44" w:rsidR="00A30F85" w:rsidRPr="00936B73" w:rsidRDefault="00A30F85" w:rsidP="00E2161A">
            <w:pPr>
              <w:pStyle w:val="TableText"/>
              <w:rPr>
                <w:color w:val="800080" w:themeColor="accent3"/>
              </w:rPr>
            </w:pPr>
            <w:r>
              <w:rPr>
                <w:color w:val="800080" w:themeColor="accent3"/>
              </w:rPr>
              <w:t>39</w:t>
            </w:r>
          </w:p>
        </w:tc>
        <w:tc>
          <w:tcPr>
            <w:tcW w:w="1530" w:type="dxa"/>
          </w:tcPr>
          <w:p w14:paraId="3C665AB3" w14:textId="038E2423" w:rsidR="00A30F85" w:rsidRPr="00936B73" w:rsidRDefault="00A30F85" w:rsidP="00E2161A">
            <w:pPr>
              <w:pStyle w:val="TableText"/>
              <w:rPr>
                <w:color w:val="800080" w:themeColor="accent3"/>
              </w:rPr>
            </w:pPr>
            <w:r>
              <w:rPr>
                <w:color w:val="800080" w:themeColor="accent3"/>
              </w:rPr>
              <w:t>8,994</w:t>
            </w:r>
          </w:p>
        </w:tc>
        <w:tc>
          <w:tcPr>
            <w:tcW w:w="1616" w:type="dxa"/>
          </w:tcPr>
          <w:p w14:paraId="58AAC27C" w14:textId="3DB301E6" w:rsidR="00A30F85" w:rsidRPr="00936B73" w:rsidRDefault="00A30F85" w:rsidP="00E2161A">
            <w:pPr>
              <w:pStyle w:val="TableText"/>
              <w:rPr>
                <w:color w:val="800080" w:themeColor="accent3"/>
              </w:rPr>
            </w:pPr>
            <w:r>
              <w:rPr>
                <w:color w:val="800080" w:themeColor="accent3"/>
              </w:rPr>
              <w:t>169</w:t>
            </w:r>
          </w:p>
        </w:tc>
      </w:tr>
      <w:tr w:rsidR="00A30F85" w:rsidRPr="00936B73" w14:paraId="2FFFB01B" w14:textId="0314862B" w:rsidTr="00A30F85">
        <w:trPr>
          <w:cantSplit/>
          <w:trHeight w:val="273"/>
        </w:trPr>
        <w:tc>
          <w:tcPr>
            <w:tcW w:w="2774" w:type="dxa"/>
          </w:tcPr>
          <w:p w14:paraId="7FFF5008" w14:textId="77777777" w:rsidR="00A30F85" w:rsidRPr="00936B73" w:rsidRDefault="00A30F85" w:rsidP="00E2161A">
            <w:pPr>
              <w:pStyle w:val="TableText"/>
              <w:rPr>
                <w:color w:val="800080" w:themeColor="accent3"/>
              </w:rPr>
            </w:pPr>
            <w:r>
              <w:rPr>
                <w:color w:val="800080" w:themeColor="accent3"/>
              </w:rPr>
              <w:t>2045 Alternative 1</w:t>
            </w:r>
          </w:p>
        </w:tc>
        <w:tc>
          <w:tcPr>
            <w:tcW w:w="1901" w:type="dxa"/>
          </w:tcPr>
          <w:p w14:paraId="00AE3ACC" w14:textId="70C739FB" w:rsidR="00A30F85" w:rsidRPr="00936B73" w:rsidRDefault="00A30F85" w:rsidP="00E2161A">
            <w:pPr>
              <w:pStyle w:val="TableText"/>
              <w:rPr>
                <w:color w:val="800080" w:themeColor="accent3"/>
              </w:rPr>
            </w:pPr>
            <w:r>
              <w:rPr>
                <w:color w:val="800080" w:themeColor="accent3"/>
              </w:rPr>
              <w:t>12</w:t>
            </w:r>
          </w:p>
        </w:tc>
        <w:tc>
          <w:tcPr>
            <w:tcW w:w="1800" w:type="dxa"/>
          </w:tcPr>
          <w:p w14:paraId="37124933" w14:textId="5E59196E" w:rsidR="00A30F85" w:rsidRPr="00936B73" w:rsidRDefault="00A30F85" w:rsidP="00E2161A">
            <w:pPr>
              <w:pStyle w:val="TableText"/>
              <w:rPr>
                <w:color w:val="800080" w:themeColor="accent3"/>
              </w:rPr>
            </w:pPr>
            <w:r>
              <w:rPr>
                <w:color w:val="800080" w:themeColor="accent3"/>
              </w:rPr>
              <w:t>38</w:t>
            </w:r>
          </w:p>
        </w:tc>
        <w:tc>
          <w:tcPr>
            <w:tcW w:w="1530" w:type="dxa"/>
          </w:tcPr>
          <w:p w14:paraId="538EFFFF" w14:textId="5D5A43DE" w:rsidR="00A30F85" w:rsidRPr="00936B73" w:rsidRDefault="00A30F85" w:rsidP="00E2161A">
            <w:pPr>
              <w:pStyle w:val="TableText"/>
              <w:rPr>
                <w:color w:val="800080" w:themeColor="accent3"/>
              </w:rPr>
            </w:pPr>
            <w:r>
              <w:rPr>
                <w:color w:val="800080" w:themeColor="accent3"/>
              </w:rPr>
              <w:t>8,904</w:t>
            </w:r>
          </w:p>
        </w:tc>
        <w:tc>
          <w:tcPr>
            <w:tcW w:w="1616" w:type="dxa"/>
          </w:tcPr>
          <w:p w14:paraId="456BD665" w14:textId="4A86A5F7" w:rsidR="00A30F85" w:rsidRPr="00936B73" w:rsidRDefault="00A30F85" w:rsidP="00E2161A">
            <w:pPr>
              <w:pStyle w:val="TableText"/>
              <w:rPr>
                <w:color w:val="800080" w:themeColor="accent3"/>
              </w:rPr>
            </w:pPr>
            <w:r>
              <w:rPr>
                <w:color w:val="800080" w:themeColor="accent3"/>
              </w:rPr>
              <w:t>167</w:t>
            </w:r>
          </w:p>
        </w:tc>
      </w:tr>
      <w:tr w:rsidR="00A30F85" w:rsidRPr="00936B73" w14:paraId="51D4F229" w14:textId="2C5F244F" w:rsidTr="00A30F85">
        <w:trPr>
          <w:cantSplit/>
          <w:trHeight w:val="258"/>
        </w:trPr>
        <w:tc>
          <w:tcPr>
            <w:tcW w:w="2774" w:type="dxa"/>
          </w:tcPr>
          <w:p w14:paraId="7F13C6CF" w14:textId="77777777" w:rsidR="00A30F85" w:rsidRPr="00936B73" w:rsidRDefault="00A30F85" w:rsidP="00E2161A">
            <w:pPr>
              <w:pStyle w:val="TableText"/>
              <w:rPr>
                <w:color w:val="800080" w:themeColor="accent3"/>
              </w:rPr>
            </w:pPr>
            <w:r>
              <w:rPr>
                <w:color w:val="800080" w:themeColor="accent3"/>
              </w:rPr>
              <w:t>2045 Alternative 2</w:t>
            </w:r>
          </w:p>
        </w:tc>
        <w:tc>
          <w:tcPr>
            <w:tcW w:w="1901" w:type="dxa"/>
          </w:tcPr>
          <w:p w14:paraId="34BEEC96" w14:textId="277E7B06" w:rsidR="00A30F85" w:rsidRPr="00936B73" w:rsidRDefault="00A30F85" w:rsidP="00E2161A">
            <w:pPr>
              <w:pStyle w:val="TableText"/>
              <w:rPr>
                <w:color w:val="800080" w:themeColor="accent3"/>
              </w:rPr>
            </w:pPr>
            <w:r>
              <w:rPr>
                <w:color w:val="800080" w:themeColor="accent3"/>
              </w:rPr>
              <w:t>12</w:t>
            </w:r>
          </w:p>
        </w:tc>
        <w:tc>
          <w:tcPr>
            <w:tcW w:w="1800" w:type="dxa"/>
          </w:tcPr>
          <w:p w14:paraId="1B86F3DC" w14:textId="5426E1A9" w:rsidR="00A30F85" w:rsidRPr="00936B73" w:rsidRDefault="00A30F85" w:rsidP="00E2161A">
            <w:pPr>
              <w:pStyle w:val="TableText"/>
              <w:rPr>
                <w:color w:val="800080" w:themeColor="accent3"/>
              </w:rPr>
            </w:pPr>
            <w:r>
              <w:rPr>
                <w:color w:val="800080" w:themeColor="accent3"/>
              </w:rPr>
              <w:t>38</w:t>
            </w:r>
          </w:p>
        </w:tc>
        <w:tc>
          <w:tcPr>
            <w:tcW w:w="1530" w:type="dxa"/>
          </w:tcPr>
          <w:p w14:paraId="23460FB2" w14:textId="125AFB26" w:rsidR="00A30F85" w:rsidRPr="00936B73" w:rsidRDefault="00A30F85" w:rsidP="00E2161A">
            <w:pPr>
              <w:pStyle w:val="TableText"/>
              <w:rPr>
                <w:color w:val="800080" w:themeColor="accent3"/>
              </w:rPr>
            </w:pPr>
            <w:r>
              <w:rPr>
                <w:color w:val="800080" w:themeColor="accent3"/>
              </w:rPr>
              <w:t>8,903</w:t>
            </w:r>
          </w:p>
        </w:tc>
        <w:tc>
          <w:tcPr>
            <w:tcW w:w="1616" w:type="dxa"/>
          </w:tcPr>
          <w:p w14:paraId="5900B5C7" w14:textId="25250075" w:rsidR="00A30F85" w:rsidRPr="00936B73" w:rsidRDefault="00A30F85" w:rsidP="00E2161A">
            <w:pPr>
              <w:pStyle w:val="TableText"/>
              <w:rPr>
                <w:color w:val="800080" w:themeColor="accent3"/>
              </w:rPr>
            </w:pPr>
            <w:r>
              <w:rPr>
                <w:color w:val="800080" w:themeColor="accent3"/>
              </w:rPr>
              <w:t>167</w:t>
            </w:r>
          </w:p>
        </w:tc>
      </w:tr>
    </w:tbl>
    <w:p w14:paraId="715AE835" w14:textId="6D5B45A1" w:rsidR="00763C50" w:rsidRDefault="00763C50" w:rsidP="00763C50">
      <w:pPr>
        <w:pStyle w:val="TableText"/>
        <w:rPr>
          <w:color w:val="800080" w:themeColor="accent3"/>
        </w:rPr>
      </w:pPr>
      <w:r w:rsidRPr="00936B73">
        <w:rPr>
          <w:color w:val="800080" w:themeColor="accent3"/>
        </w:rPr>
        <w:t xml:space="preserve">Source: </w:t>
      </w:r>
      <w:r w:rsidR="00A30F85">
        <w:rPr>
          <w:color w:val="800080" w:themeColor="accent3"/>
        </w:rPr>
        <w:t>CT-EMFAC2021</w:t>
      </w:r>
    </w:p>
    <w:p w14:paraId="478B26E0" w14:textId="4CD59CC1" w:rsidR="00763C50" w:rsidRPr="00936B73" w:rsidRDefault="00763C50" w:rsidP="00763C50">
      <w:pPr>
        <w:pStyle w:val="TableText"/>
        <w:rPr>
          <w:color w:val="800080" w:themeColor="accent3"/>
        </w:rPr>
      </w:pPr>
      <w:r w:rsidRPr="007D03FB">
        <w:rPr>
          <w:color w:val="800080" w:themeColor="accent3"/>
        </w:rPr>
        <w:t xml:space="preserve">Note: </w:t>
      </w:r>
      <w:r w:rsidR="00623335" w:rsidRPr="00623335">
        <w:rPr>
          <w:color w:val="800080" w:themeColor="accent3"/>
        </w:rPr>
        <w:t>Refer to Appendix B for the CT-EMFAC2021 model output</w:t>
      </w:r>
      <w:r>
        <w:rPr>
          <w:color w:val="800080" w:themeColor="accent3"/>
        </w:rPr>
        <w:t>.</w:t>
      </w:r>
    </w:p>
    <w:p w14:paraId="3674812E" w14:textId="77777777" w:rsidR="00C45818" w:rsidRPr="0008153B" w:rsidRDefault="00C45818" w:rsidP="0093673A">
      <w:pPr>
        <w:spacing w:after="0"/>
        <w:rPr>
          <w:rFonts w:cs="Arial"/>
          <w:color w:val="800080" w:themeColor="accent3"/>
          <w:sz w:val="20"/>
        </w:rPr>
      </w:pPr>
    </w:p>
    <w:p w14:paraId="045F05B1" w14:textId="53C0EBCC" w:rsidR="00384B82" w:rsidRDefault="00384B82" w:rsidP="00384B82">
      <w:pPr>
        <w:rPr>
          <w:color w:val="800080" w:themeColor="accent3"/>
        </w:rPr>
      </w:pPr>
      <w:r w:rsidRPr="00384B82">
        <w:rPr>
          <w:color w:val="800080" w:themeColor="accent3"/>
        </w:rPr>
        <w:t xml:space="preserve">As discussed in Section 4.1, </w:t>
      </w:r>
      <w:r w:rsidRPr="00384B82">
        <w:rPr>
          <w:i/>
          <w:iCs/>
          <w:color w:val="800080" w:themeColor="accent3"/>
        </w:rPr>
        <w:t>Introduction</w:t>
      </w:r>
      <w:r w:rsidRPr="00384B82">
        <w:rPr>
          <w:color w:val="800080" w:themeColor="accent3"/>
        </w:rPr>
        <w:t>, direct energy can be represented in terms of thermal value, known as BTU</w:t>
      </w:r>
      <w:r w:rsidR="00851223" w:rsidRPr="00384B82">
        <w:rPr>
          <w:color w:val="800080" w:themeColor="accent3"/>
        </w:rPr>
        <w:t xml:space="preserve">.  </w:t>
      </w:r>
      <w:r w:rsidRPr="00384B82">
        <w:rPr>
          <w:color w:val="800080" w:themeColor="accent3"/>
        </w:rPr>
        <w:t>Gasoline, diesel, natural gas, and electricity consumption reported in Table 4-2 were converted to BTU using the heat content of each fuel, as shown in Table 4-1</w:t>
      </w:r>
      <w:r w:rsidR="00851223" w:rsidRPr="00384B82">
        <w:rPr>
          <w:color w:val="800080" w:themeColor="accent3"/>
        </w:rPr>
        <w:t xml:space="preserve">.  </w:t>
      </w:r>
      <w:r w:rsidRPr="00384B82">
        <w:rPr>
          <w:color w:val="800080" w:themeColor="accent3"/>
        </w:rPr>
        <w:t>Table 4-</w:t>
      </w:r>
      <w:r>
        <w:rPr>
          <w:color w:val="800080" w:themeColor="accent3"/>
        </w:rPr>
        <w:t>4</w:t>
      </w:r>
      <w:r w:rsidRPr="00384B82">
        <w:rPr>
          <w:color w:val="800080" w:themeColor="accent3"/>
        </w:rPr>
        <w:t xml:space="preserve"> summarizes the annual direct energy for each of the analysis conditions.</w:t>
      </w:r>
    </w:p>
    <w:p w14:paraId="24A3CC63" w14:textId="14D9EF74" w:rsidR="00384B82" w:rsidRPr="00936B73" w:rsidRDefault="004F24C2" w:rsidP="00384B82">
      <w:pPr>
        <w:pStyle w:val="TableTitle"/>
        <w:rPr>
          <w:color w:val="800080" w:themeColor="accent3"/>
        </w:rPr>
      </w:pPr>
      <w:bookmarkStart w:id="128" w:name="_Toc157429612"/>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t xml:space="preserve">: </w:t>
      </w:r>
      <w:r w:rsidR="00394A2C" w:rsidRPr="00394A2C">
        <w:rPr>
          <w:color w:val="800080" w:themeColor="accent3"/>
        </w:rPr>
        <w:t>Annual Direct Energy Use by Alternative and Study Year</w:t>
      </w:r>
      <w:bookmarkEnd w:id="128"/>
    </w:p>
    <w:tbl>
      <w:tblPr>
        <w:tblStyle w:val="TableGrid"/>
        <w:tblW w:w="0" w:type="auto"/>
        <w:tblLook w:val="0020" w:firstRow="1" w:lastRow="0" w:firstColumn="0" w:lastColumn="0" w:noHBand="0" w:noVBand="0"/>
        <w:tblCaption w:val="Annual Direct Energy Use by Alternative and Study Year"/>
        <w:tblDescription w:val="A table with example results for direct energy, change in direct energy from 2023 existing conditions, and change in direct energy from no-build conditions for each alternative and study year. "/>
      </w:tblPr>
      <w:tblGrid>
        <w:gridCol w:w="2515"/>
        <w:gridCol w:w="1800"/>
        <w:gridCol w:w="2610"/>
        <w:gridCol w:w="2425"/>
      </w:tblGrid>
      <w:tr w:rsidR="00384B82" w:rsidRPr="00936B73" w14:paraId="6530B3AE" w14:textId="77777777" w:rsidTr="00E2161A">
        <w:trPr>
          <w:cantSplit/>
        </w:trPr>
        <w:tc>
          <w:tcPr>
            <w:tcW w:w="2515" w:type="dxa"/>
          </w:tcPr>
          <w:p w14:paraId="3AE4CA28" w14:textId="77777777" w:rsidR="00384B82" w:rsidRPr="00936B73" w:rsidRDefault="00384B82" w:rsidP="00E2161A">
            <w:pPr>
              <w:pStyle w:val="TableHeading"/>
              <w:rPr>
                <w:color w:val="800080" w:themeColor="accent3"/>
              </w:rPr>
            </w:pPr>
            <w:r>
              <w:rPr>
                <w:color w:val="800080" w:themeColor="accent3"/>
              </w:rPr>
              <w:t>Alternative and Study Year</w:t>
            </w:r>
          </w:p>
        </w:tc>
        <w:tc>
          <w:tcPr>
            <w:tcW w:w="1800" w:type="dxa"/>
          </w:tcPr>
          <w:p w14:paraId="762C3DDA" w14:textId="12B500EA" w:rsidR="00384B82" w:rsidRPr="00936B73" w:rsidRDefault="00BB3877" w:rsidP="00E2161A">
            <w:pPr>
              <w:pStyle w:val="TableHeading"/>
              <w:rPr>
                <w:color w:val="800080" w:themeColor="accent3"/>
              </w:rPr>
            </w:pPr>
            <w:r w:rsidRPr="00BB3877">
              <w:rPr>
                <w:color w:val="800080" w:themeColor="accent3"/>
              </w:rPr>
              <w:t>Direct Energy (million BTU)</w:t>
            </w:r>
          </w:p>
        </w:tc>
        <w:tc>
          <w:tcPr>
            <w:tcW w:w="2610" w:type="dxa"/>
          </w:tcPr>
          <w:p w14:paraId="1A4DCA23" w14:textId="1D80F6B9" w:rsidR="00384B82" w:rsidRPr="00936B73" w:rsidRDefault="00BB3877" w:rsidP="00E2161A">
            <w:pPr>
              <w:pStyle w:val="TableHeading"/>
              <w:rPr>
                <w:color w:val="800080" w:themeColor="accent3"/>
              </w:rPr>
            </w:pPr>
            <w:r>
              <w:rPr>
                <w:color w:val="800080" w:themeColor="accent3"/>
              </w:rPr>
              <w:t>Direct Energy</w:t>
            </w:r>
            <w:r w:rsidR="00384B82">
              <w:rPr>
                <w:color w:val="800080" w:themeColor="accent3"/>
              </w:rPr>
              <w:t xml:space="preserve"> Change from 202</w:t>
            </w:r>
            <w:r w:rsidR="00A80868">
              <w:rPr>
                <w:color w:val="800080" w:themeColor="accent3"/>
              </w:rPr>
              <w:t>3</w:t>
            </w:r>
            <w:r w:rsidR="00384B82">
              <w:rPr>
                <w:color w:val="800080" w:themeColor="accent3"/>
              </w:rPr>
              <w:t xml:space="preserve"> Existing (% Change)</w:t>
            </w:r>
          </w:p>
        </w:tc>
        <w:tc>
          <w:tcPr>
            <w:tcW w:w="2425" w:type="dxa"/>
          </w:tcPr>
          <w:p w14:paraId="35505098" w14:textId="08BDA26D" w:rsidR="00384B82" w:rsidRPr="00936B73" w:rsidRDefault="00BB3877" w:rsidP="00E2161A">
            <w:pPr>
              <w:pStyle w:val="TableHeading"/>
              <w:rPr>
                <w:color w:val="800080" w:themeColor="accent3"/>
              </w:rPr>
            </w:pPr>
            <w:r>
              <w:rPr>
                <w:color w:val="800080" w:themeColor="accent3"/>
              </w:rPr>
              <w:t xml:space="preserve">Direct Energy </w:t>
            </w:r>
            <w:r w:rsidR="00384B82">
              <w:rPr>
                <w:color w:val="800080" w:themeColor="accent3"/>
              </w:rPr>
              <w:t>Change from No-Build (% Change)</w:t>
            </w:r>
          </w:p>
        </w:tc>
      </w:tr>
      <w:tr w:rsidR="00384B82" w:rsidRPr="00936B73" w14:paraId="5AA409C4" w14:textId="77777777" w:rsidTr="00E2161A">
        <w:trPr>
          <w:cantSplit/>
        </w:trPr>
        <w:tc>
          <w:tcPr>
            <w:tcW w:w="2515" w:type="dxa"/>
          </w:tcPr>
          <w:p w14:paraId="1869F999" w14:textId="7785EA00" w:rsidR="00384B82" w:rsidRPr="00936B73" w:rsidRDefault="00384B82" w:rsidP="00E2161A">
            <w:pPr>
              <w:pStyle w:val="TableText"/>
              <w:rPr>
                <w:color w:val="800080" w:themeColor="accent3"/>
              </w:rPr>
            </w:pPr>
            <w:r>
              <w:rPr>
                <w:color w:val="800080" w:themeColor="accent3"/>
              </w:rPr>
              <w:t>202</w:t>
            </w:r>
            <w:r w:rsidR="00A80868">
              <w:rPr>
                <w:color w:val="800080" w:themeColor="accent3"/>
              </w:rPr>
              <w:t>3</w:t>
            </w:r>
            <w:r>
              <w:rPr>
                <w:color w:val="800080" w:themeColor="accent3"/>
              </w:rPr>
              <w:t xml:space="preserve"> Existing Conditions</w:t>
            </w:r>
          </w:p>
        </w:tc>
        <w:tc>
          <w:tcPr>
            <w:tcW w:w="1800" w:type="dxa"/>
          </w:tcPr>
          <w:p w14:paraId="34991ED3" w14:textId="6994AAFF" w:rsidR="00384B82" w:rsidRPr="00936B73" w:rsidRDefault="00B70EA1" w:rsidP="00E2161A">
            <w:pPr>
              <w:pStyle w:val="TableText"/>
              <w:rPr>
                <w:color w:val="800080" w:themeColor="accent3"/>
              </w:rPr>
            </w:pPr>
            <w:r w:rsidRPr="00B70EA1">
              <w:rPr>
                <w:color w:val="800080" w:themeColor="accent3"/>
              </w:rPr>
              <w:t>14,890,545</w:t>
            </w:r>
          </w:p>
        </w:tc>
        <w:tc>
          <w:tcPr>
            <w:tcW w:w="2610" w:type="dxa"/>
          </w:tcPr>
          <w:p w14:paraId="71405FFD" w14:textId="428472BD" w:rsidR="00384B82" w:rsidRPr="00936B73" w:rsidRDefault="00EE4C07" w:rsidP="00E2161A">
            <w:pPr>
              <w:pStyle w:val="TableText"/>
              <w:rPr>
                <w:color w:val="800080" w:themeColor="accent3"/>
              </w:rPr>
            </w:pPr>
            <w:r w:rsidRPr="00A23112">
              <w:rPr>
                <w:color w:val="800080" w:themeColor="accent3"/>
              </w:rPr>
              <w:t>N/A</w:t>
            </w:r>
          </w:p>
        </w:tc>
        <w:tc>
          <w:tcPr>
            <w:tcW w:w="2425" w:type="dxa"/>
          </w:tcPr>
          <w:p w14:paraId="4DAF56DC" w14:textId="6E3286D6" w:rsidR="00384B82" w:rsidRPr="00936B73" w:rsidRDefault="00EE4C07" w:rsidP="00E2161A">
            <w:pPr>
              <w:pStyle w:val="TableText"/>
              <w:rPr>
                <w:color w:val="800080" w:themeColor="accent3"/>
              </w:rPr>
            </w:pPr>
            <w:r w:rsidRPr="00A23112">
              <w:rPr>
                <w:color w:val="800080" w:themeColor="accent3"/>
              </w:rPr>
              <w:t>N/A</w:t>
            </w:r>
          </w:p>
        </w:tc>
      </w:tr>
      <w:tr w:rsidR="00384B82" w:rsidRPr="00936B73" w14:paraId="5C66D804" w14:textId="77777777" w:rsidTr="00E2161A">
        <w:trPr>
          <w:cantSplit/>
        </w:trPr>
        <w:tc>
          <w:tcPr>
            <w:tcW w:w="2515" w:type="dxa"/>
          </w:tcPr>
          <w:p w14:paraId="621787DB" w14:textId="77777777" w:rsidR="00384B82" w:rsidRPr="00936B73" w:rsidRDefault="00384B82" w:rsidP="00E2161A">
            <w:pPr>
              <w:pStyle w:val="TableText"/>
              <w:rPr>
                <w:color w:val="800080" w:themeColor="accent3"/>
              </w:rPr>
            </w:pPr>
            <w:r>
              <w:rPr>
                <w:color w:val="800080" w:themeColor="accent3"/>
              </w:rPr>
              <w:t xml:space="preserve">2025 No-Build Alternative </w:t>
            </w:r>
          </w:p>
        </w:tc>
        <w:tc>
          <w:tcPr>
            <w:tcW w:w="1800" w:type="dxa"/>
          </w:tcPr>
          <w:p w14:paraId="3BC3CCBA" w14:textId="326C3C7E" w:rsidR="00384B82" w:rsidRPr="00936B73" w:rsidRDefault="004D64A7" w:rsidP="00E2161A">
            <w:pPr>
              <w:pStyle w:val="TableText"/>
              <w:rPr>
                <w:color w:val="800080" w:themeColor="accent3"/>
              </w:rPr>
            </w:pPr>
            <w:r w:rsidRPr="004D64A7">
              <w:rPr>
                <w:color w:val="800080" w:themeColor="accent3"/>
              </w:rPr>
              <w:t>15,157,291</w:t>
            </w:r>
          </w:p>
        </w:tc>
        <w:tc>
          <w:tcPr>
            <w:tcW w:w="2610" w:type="dxa"/>
          </w:tcPr>
          <w:p w14:paraId="6191D230" w14:textId="1E30EB9C" w:rsidR="00384B82" w:rsidRPr="00936B73" w:rsidRDefault="003261A4" w:rsidP="00E2161A">
            <w:pPr>
              <w:pStyle w:val="TableText"/>
              <w:rPr>
                <w:color w:val="800080" w:themeColor="accent3"/>
              </w:rPr>
            </w:pPr>
            <w:r w:rsidRPr="003261A4">
              <w:rPr>
                <w:color w:val="800080" w:themeColor="accent3"/>
              </w:rPr>
              <w:t>266,746 (2%)</w:t>
            </w:r>
          </w:p>
        </w:tc>
        <w:tc>
          <w:tcPr>
            <w:tcW w:w="2425" w:type="dxa"/>
          </w:tcPr>
          <w:p w14:paraId="32395461" w14:textId="236BB934" w:rsidR="00384B82" w:rsidRPr="00936B73" w:rsidRDefault="00EE4C07" w:rsidP="00E2161A">
            <w:pPr>
              <w:pStyle w:val="TableText"/>
              <w:rPr>
                <w:color w:val="800080" w:themeColor="accent3"/>
              </w:rPr>
            </w:pPr>
            <w:r w:rsidRPr="00A23112">
              <w:rPr>
                <w:color w:val="800080" w:themeColor="accent3"/>
              </w:rPr>
              <w:t>N/A</w:t>
            </w:r>
          </w:p>
        </w:tc>
      </w:tr>
      <w:tr w:rsidR="00384B82" w:rsidRPr="00936B73" w14:paraId="45A00A53" w14:textId="77777777" w:rsidTr="00E2161A">
        <w:trPr>
          <w:cantSplit/>
        </w:trPr>
        <w:tc>
          <w:tcPr>
            <w:tcW w:w="2515" w:type="dxa"/>
          </w:tcPr>
          <w:p w14:paraId="7079F5EE" w14:textId="77777777" w:rsidR="00384B82" w:rsidRPr="00936B73" w:rsidRDefault="00384B82" w:rsidP="00E2161A">
            <w:pPr>
              <w:pStyle w:val="TableText"/>
              <w:rPr>
                <w:color w:val="800080" w:themeColor="accent3"/>
              </w:rPr>
            </w:pPr>
            <w:r>
              <w:rPr>
                <w:color w:val="800080" w:themeColor="accent3"/>
              </w:rPr>
              <w:t>2025 Alternative 1</w:t>
            </w:r>
          </w:p>
        </w:tc>
        <w:tc>
          <w:tcPr>
            <w:tcW w:w="1800" w:type="dxa"/>
          </w:tcPr>
          <w:p w14:paraId="11DC9B8F" w14:textId="76191114" w:rsidR="00384B82" w:rsidRPr="00936B73" w:rsidRDefault="0025676B" w:rsidP="00E2161A">
            <w:pPr>
              <w:pStyle w:val="TableText"/>
              <w:rPr>
                <w:color w:val="800080" w:themeColor="accent3"/>
              </w:rPr>
            </w:pPr>
            <w:r w:rsidRPr="0025676B">
              <w:rPr>
                <w:color w:val="800080" w:themeColor="accent3"/>
              </w:rPr>
              <w:t>15,005,718</w:t>
            </w:r>
          </w:p>
        </w:tc>
        <w:tc>
          <w:tcPr>
            <w:tcW w:w="2610" w:type="dxa"/>
          </w:tcPr>
          <w:p w14:paraId="5748663C" w14:textId="009C2AEA" w:rsidR="00384B82" w:rsidRPr="00936B73" w:rsidRDefault="00750B58" w:rsidP="00E2161A">
            <w:pPr>
              <w:pStyle w:val="TableText"/>
              <w:rPr>
                <w:color w:val="800080" w:themeColor="accent3"/>
              </w:rPr>
            </w:pPr>
            <w:r w:rsidRPr="00750B58">
              <w:rPr>
                <w:color w:val="800080" w:themeColor="accent3"/>
              </w:rPr>
              <w:t>115,173 (1%)</w:t>
            </w:r>
          </w:p>
        </w:tc>
        <w:tc>
          <w:tcPr>
            <w:tcW w:w="2425" w:type="dxa"/>
          </w:tcPr>
          <w:p w14:paraId="0F86E8DC" w14:textId="56A55741" w:rsidR="00384B82" w:rsidRPr="00936B73" w:rsidRDefault="00A84106" w:rsidP="00E2161A">
            <w:pPr>
              <w:pStyle w:val="TableText"/>
              <w:rPr>
                <w:color w:val="800080" w:themeColor="accent3"/>
              </w:rPr>
            </w:pPr>
            <w:r w:rsidRPr="00A84106">
              <w:rPr>
                <w:color w:val="800080" w:themeColor="accent3"/>
              </w:rPr>
              <w:t>-151,573 (-1%)</w:t>
            </w:r>
          </w:p>
        </w:tc>
      </w:tr>
      <w:tr w:rsidR="00384B82" w:rsidRPr="00936B73" w14:paraId="28C4EBA0" w14:textId="77777777" w:rsidTr="00E2161A">
        <w:trPr>
          <w:cantSplit/>
        </w:trPr>
        <w:tc>
          <w:tcPr>
            <w:tcW w:w="2515" w:type="dxa"/>
          </w:tcPr>
          <w:p w14:paraId="27B8FA28" w14:textId="77777777" w:rsidR="00384B82" w:rsidRPr="00936B73" w:rsidRDefault="00384B82" w:rsidP="00E2161A">
            <w:pPr>
              <w:pStyle w:val="TableText"/>
              <w:rPr>
                <w:color w:val="800080" w:themeColor="accent3"/>
              </w:rPr>
            </w:pPr>
            <w:r>
              <w:rPr>
                <w:color w:val="800080" w:themeColor="accent3"/>
              </w:rPr>
              <w:t>2025 Alternative 2</w:t>
            </w:r>
          </w:p>
        </w:tc>
        <w:tc>
          <w:tcPr>
            <w:tcW w:w="1800" w:type="dxa"/>
          </w:tcPr>
          <w:p w14:paraId="7E618880" w14:textId="6EE7AA57" w:rsidR="00384B82" w:rsidRPr="00936B73" w:rsidRDefault="00E35447" w:rsidP="00E2161A">
            <w:pPr>
              <w:pStyle w:val="TableText"/>
              <w:rPr>
                <w:color w:val="800080" w:themeColor="accent3"/>
              </w:rPr>
            </w:pPr>
            <w:r w:rsidRPr="00E35447">
              <w:rPr>
                <w:color w:val="800080" w:themeColor="accent3"/>
              </w:rPr>
              <w:t>15,004,202</w:t>
            </w:r>
          </w:p>
        </w:tc>
        <w:tc>
          <w:tcPr>
            <w:tcW w:w="2610" w:type="dxa"/>
          </w:tcPr>
          <w:p w14:paraId="7EBE8AA3" w14:textId="3C00F366" w:rsidR="00384B82" w:rsidRPr="00936B73" w:rsidRDefault="00BA75C3" w:rsidP="00E2161A">
            <w:pPr>
              <w:pStyle w:val="TableText"/>
              <w:rPr>
                <w:color w:val="800080" w:themeColor="accent3"/>
              </w:rPr>
            </w:pPr>
            <w:r w:rsidRPr="00BA75C3">
              <w:rPr>
                <w:color w:val="800080" w:themeColor="accent3"/>
              </w:rPr>
              <w:t>113,657 (1%)</w:t>
            </w:r>
          </w:p>
        </w:tc>
        <w:tc>
          <w:tcPr>
            <w:tcW w:w="2425" w:type="dxa"/>
          </w:tcPr>
          <w:p w14:paraId="6ED97E08" w14:textId="0DD44BD4" w:rsidR="00384B82" w:rsidRPr="00936B73" w:rsidRDefault="003258EF" w:rsidP="00E2161A">
            <w:pPr>
              <w:pStyle w:val="TableText"/>
              <w:rPr>
                <w:color w:val="800080" w:themeColor="accent3"/>
              </w:rPr>
            </w:pPr>
            <w:r w:rsidRPr="003258EF">
              <w:rPr>
                <w:color w:val="800080" w:themeColor="accent3"/>
              </w:rPr>
              <w:t>-153,089 (-1%)</w:t>
            </w:r>
          </w:p>
        </w:tc>
      </w:tr>
      <w:tr w:rsidR="00384B82" w:rsidRPr="00936B73" w14:paraId="4E68F023" w14:textId="77777777" w:rsidTr="00E2161A">
        <w:trPr>
          <w:cantSplit/>
        </w:trPr>
        <w:tc>
          <w:tcPr>
            <w:tcW w:w="2515" w:type="dxa"/>
          </w:tcPr>
          <w:p w14:paraId="25901033" w14:textId="77777777" w:rsidR="00384B82" w:rsidRPr="00936B73" w:rsidRDefault="00384B82" w:rsidP="00E2161A">
            <w:pPr>
              <w:pStyle w:val="TableText"/>
              <w:rPr>
                <w:color w:val="800080" w:themeColor="accent3"/>
              </w:rPr>
            </w:pPr>
            <w:r>
              <w:rPr>
                <w:color w:val="800080" w:themeColor="accent3"/>
              </w:rPr>
              <w:t xml:space="preserve">2045 No-Build Alternative </w:t>
            </w:r>
          </w:p>
        </w:tc>
        <w:tc>
          <w:tcPr>
            <w:tcW w:w="1800" w:type="dxa"/>
          </w:tcPr>
          <w:p w14:paraId="22CA3B69" w14:textId="3563A6DD" w:rsidR="00384B82" w:rsidRPr="00936B73" w:rsidRDefault="00BB4DF0" w:rsidP="00E2161A">
            <w:pPr>
              <w:pStyle w:val="TableText"/>
              <w:rPr>
                <w:color w:val="800080" w:themeColor="accent3"/>
              </w:rPr>
            </w:pPr>
            <w:r w:rsidRPr="00BB4DF0">
              <w:rPr>
                <w:color w:val="800080" w:themeColor="accent3"/>
              </w:rPr>
              <w:t>16,682,615</w:t>
            </w:r>
          </w:p>
        </w:tc>
        <w:tc>
          <w:tcPr>
            <w:tcW w:w="2610" w:type="dxa"/>
          </w:tcPr>
          <w:p w14:paraId="4355FE8A" w14:textId="1EA3D9B1" w:rsidR="00384B82" w:rsidRPr="00936B73" w:rsidRDefault="001469B2" w:rsidP="00E2161A">
            <w:pPr>
              <w:pStyle w:val="TableText"/>
              <w:rPr>
                <w:color w:val="800080" w:themeColor="accent3"/>
              </w:rPr>
            </w:pPr>
            <w:r w:rsidRPr="001469B2">
              <w:rPr>
                <w:color w:val="800080" w:themeColor="accent3"/>
              </w:rPr>
              <w:t>1,792,070 (12%)</w:t>
            </w:r>
          </w:p>
        </w:tc>
        <w:tc>
          <w:tcPr>
            <w:tcW w:w="2425" w:type="dxa"/>
          </w:tcPr>
          <w:p w14:paraId="5512D457" w14:textId="76ACC44C" w:rsidR="00384B82" w:rsidRPr="00936B73" w:rsidRDefault="00EE4C07" w:rsidP="00E2161A">
            <w:pPr>
              <w:pStyle w:val="TableText"/>
              <w:rPr>
                <w:color w:val="800080" w:themeColor="accent3"/>
              </w:rPr>
            </w:pPr>
            <w:r w:rsidRPr="00A23112">
              <w:rPr>
                <w:color w:val="800080" w:themeColor="accent3"/>
              </w:rPr>
              <w:t>N/A</w:t>
            </w:r>
          </w:p>
        </w:tc>
      </w:tr>
      <w:tr w:rsidR="00384B82" w:rsidRPr="00936B73" w14:paraId="0E4442C5" w14:textId="77777777" w:rsidTr="00E2161A">
        <w:trPr>
          <w:cantSplit/>
        </w:trPr>
        <w:tc>
          <w:tcPr>
            <w:tcW w:w="2515" w:type="dxa"/>
          </w:tcPr>
          <w:p w14:paraId="2AD14316" w14:textId="77777777" w:rsidR="00384B82" w:rsidRPr="00936B73" w:rsidRDefault="00384B82" w:rsidP="00E2161A">
            <w:pPr>
              <w:pStyle w:val="TableText"/>
              <w:rPr>
                <w:color w:val="800080" w:themeColor="accent3"/>
              </w:rPr>
            </w:pPr>
            <w:r>
              <w:rPr>
                <w:color w:val="800080" w:themeColor="accent3"/>
              </w:rPr>
              <w:t>2045 Alternative 1</w:t>
            </w:r>
          </w:p>
        </w:tc>
        <w:tc>
          <w:tcPr>
            <w:tcW w:w="1800" w:type="dxa"/>
          </w:tcPr>
          <w:p w14:paraId="39076AB3" w14:textId="1985BB30" w:rsidR="00384B82" w:rsidRPr="00936B73" w:rsidRDefault="00496AEB" w:rsidP="00E2161A">
            <w:pPr>
              <w:pStyle w:val="TableText"/>
              <w:rPr>
                <w:color w:val="800080" w:themeColor="accent3"/>
              </w:rPr>
            </w:pPr>
            <w:r w:rsidRPr="00496AEB">
              <w:rPr>
                <w:color w:val="800080" w:themeColor="accent3"/>
              </w:rPr>
              <w:t>16,515,789</w:t>
            </w:r>
          </w:p>
        </w:tc>
        <w:tc>
          <w:tcPr>
            <w:tcW w:w="2610" w:type="dxa"/>
          </w:tcPr>
          <w:p w14:paraId="6C952858" w14:textId="3FEE5194" w:rsidR="00384B82" w:rsidRPr="00936B73" w:rsidRDefault="00766343" w:rsidP="00E2161A">
            <w:pPr>
              <w:pStyle w:val="TableText"/>
              <w:rPr>
                <w:color w:val="800080" w:themeColor="accent3"/>
              </w:rPr>
            </w:pPr>
            <w:r w:rsidRPr="00766343">
              <w:rPr>
                <w:color w:val="800080" w:themeColor="accent3"/>
              </w:rPr>
              <w:t>1,625,244 (11%)</w:t>
            </w:r>
          </w:p>
        </w:tc>
        <w:tc>
          <w:tcPr>
            <w:tcW w:w="2425" w:type="dxa"/>
          </w:tcPr>
          <w:p w14:paraId="3139B793" w14:textId="5DC8C2AF" w:rsidR="00384B82" w:rsidRPr="00936B73" w:rsidRDefault="008D681D" w:rsidP="00E2161A">
            <w:pPr>
              <w:pStyle w:val="TableText"/>
              <w:rPr>
                <w:color w:val="800080" w:themeColor="accent3"/>
              </w:rPr>
            </w:pPr>
            <w:r w:rsidRPr="008D681D">
              <w:rPr>
                <w:color w:val="800080" w:themeColor="accent3"/>
              </w:rPr>
              <w:t>-166,826 (-1%)</w:t>
            </w:r>
          </w:p>
        </w:tc>
      </w:tr>
      <w:tr w:rsidR="00384B82" w:rsidRPr="00936B73" w14:paraId="7CFC701A" w14:textId="77777777" w:rsidTr="00E2161A">
        <w:trPr>
          <w:cantSplit/>
        </w:trPr>
        <w:tc>
          <w:tcPr>
            <w:tcW w:w="2515" w:type="dxa"/>
          </w:tcPr>
          <w:p w14:paraId="6BC2342A" w14:textId="77777777" w:rsidR="00384B82" w:rsidRPr="00936B73" w:rsidRDefault="00384B82" w:rsidP="00E2161A">
            <w:pPr>
              <w:pStyle w:val="TableText"/>
              <w:rPr>
                <w:color w:val="800080" w:themeColor="accent3"/>
              </w:rPr>
            </w:pPr>
            <w:r>
              <w:rPr>
                <w:color w:val="800080" w:themeColor="accent3"/>
              </w:rPr>
              <w:t>2045 Alternative 2</w:t>
            </w:r>
          </w:p>
        </w:tc>
        <w:tc>
          <w:tcPr>
            <w:tcW w:w="1800" w:type="dxa"/>
          </w:tcPr>
          <w:p w14:paraId="14581CBB" w14:textId="1D8CC35E" w:rsidR="00384B82" w:rsidRPr="00936B73" w:rsidRDefault="00EE057C" w:rsidP="00E2161A">
            <w:pPr>
              <w:pStyle w:val="TableText"/>
              <w:rPr>
                <w:color w:val="800080" w:themeColor="accent3"/>
              </w:rPr>
            </w:pPr>
            <w:r w:rsidRPr="00EE057C">
              <w:rPr>
                <w:color w:val="800080" w:themeColor="accent3"/>
              </w:rPr>
              <w:t>16,514,121</w:t>
            </w:r>
          </w:p>
        </w:tc>
        <w:tc>
          <w:tcPr>
            <w:tcW w:w="2610" w:type="dxa"/>
          </w:tcPr>
          <w:p w14:paraId="1352F3F3" w14:textId="29713982" w:rsidR="00384B82" w:rsidRPr="00936B73" w:rsidRDefault="0043054A" w:rsidP="00E2161A">
            <w:pPr>
              <w:pStyle w:val="TableText"/>
              <w:rPr>
                <w:color w:val="800080" w:themeColor="accent3"/>
              </w:rPr>
            </w:pPr>
            <w:r w:rsidRPr="0043054A">
              <w:rPr>
                <w:color w:val="800080" w:themeColor="accent3"/>
              </w:rPr>
              <w:t>1,623,576 (11%)</w:t>
            </w:r>
          </w:p>
        </w:tc>
        <w:tc>
          <w:tcPr>
            <w:tcW w:w="2425" w:type="dxa"/>
          </w:tcPr>
          <w:p w14:paraId="706565B9" w14:textId="78159339" w:rsidR="00384B82" w:rsidRPr="00936B73" w:rsidRDefault="00F433E4" w:rsidP="00E2161A">
            <w:pPr>
              <w:pStyle w:val="TableText"/>
              <w:rPr>
                <w:color w:val="800080" w:themeColor="accent3"/>
              </w:rPr>
            </w:pPr>
            <w:r w:rsidRPr="00F433E4">
              <w:rPr>
                <w:color w:val="800080" w:themeColor="accent3"/>
              </w:rPr>
              <w:t>-168,494 (-1%)</w:t>
            </w:r>
          </w:p>
        </w:tc>
      </w:tr>
    </w:tbl>
    <w:p w14:paraId="7B65860F" w14:textId="711AD8CE" w:rsidR="00384B82" w:rsidRDefault="00384B82" w:rsidP="00384B82">
      <w:pPr>
        <w:pStyle w:val="TableText"/>
        <w:rPr>
          <w:color w:val="800080" w:themeColor="accent3"/>
        </w:rPr>
      </w:pPr>
      <w:r w:rsidRPr="00936B73">
        <w:rPr>
          <w:color w:val="800080" w:themeColor="accent3"/>
        </w:rPr>
        <w:t xml:space="preserve">Source: </w:t>
      </w:r>
      <w:r w:rsidR="00EB7A0D">
        <w:rPr>
          <w:color w:val="800080" w:themeColor="accent3"/>
        </w:rPr>
        <w:t xml:space="preserve">CT-EMFAC2021; </w:t>
      </w:r>
      <w:r w:rsidR="00412315">
        <w:rPr>
          <w:color w:val="800080" w:themeColor="accent3"/>
        </w:rPr>
        <w:t>EIA</w:t>
      </w:r>
      <w:r w:rsidR="00EB7A0D" w:rsidRPr="00EB7A0D">
        <w:rPr>
          <w:color w:val="800080" w:themeColor="accent3"/>
        </w:rPr>
        <w:t xml:space="preserve"> 2023</w:t>
      </w:r>
      <w:r w:rsidR="0019019B">
        <w:rPr>
          <w:color w:val="800080" w:themeColor="accent3"/>
        </w:rPr>
        <w:t>c</w:t>
      </w:r>
    </w:p>
    <w:p w14:paraId="03B970E7" w14:textId="5CF39197" w:rsidR="00384B82" w:rsidRPr="00936B73" w:rsidRDefault="00C45818" w:rsidP="00384B82">
      <w:pPr>
        <w:pStyle w:val="TableText"/>
        <w:spacing w:after="240"/>
        <w:rPr>
          <w:color w:val="800080" w:themeColor="accent3"/>
        </w:rPr>
      </w:pPr>
      <w:r>
        <w:rPr>
          <w:color w:val="800080" w:themeColor="accent3"/>
        </w:rPr>
        <w:t xml:space="preserve">Note: </w:t>
      </w:r>
      <w:r w:rsidR="00EE4C07" w:rsidRPr="00EE4C07">
        <w:rPr>
          <w:color w:val="800080" w:themeColor="accent3"/>
        </w:rPr>
        <w:t>N/A</w:t>
      </w:r>
      <w:r w:rsidR="00EE4C07" w:rsidRPr="00EE4C07" w:rsidDel="00EE4C07">
        <w:rPr>
          <w:color w:val="800080" w:themeColor="accent3"/>
        </w:rPr>
        <w:t xml:space="preserve"> </w:t>
      </w:r>
      <w:r w:rsidR="00384B82" w:rsidRPr="004E5FA9">
        <w:rPr>
          <w:color w:val="800080" w:themeColor="accent3"/>
        </w:rPr>
        <w:t>= comparison not applicable</w:t>
      </w:r>
      <w:r>
        <w:rPr>
          <w:color w:val="800080" w:themeColor="accent3"/>
        </w:rPr>
        <w:t>.</w:t>
      </w:r>
    </w:p>
    <w:p w14:paraId="187C7212" w14:textId="624B8EBD" w:rsidR="007315DB" w:rsidRPr="007315DB" w:rsidRDefault="007315DB" w:rsidP="007315DB">
      <w:pPr>
        <w:rPr>
          <w:color w:val="800080" w:themeColor="accent3"/>
        </w:rPr>
      </w:pPr>
      <w:r w:rsidRPr="007315DB">
        <w:rPr>
          <w:color w:val="800080" w:themeColor="accent3"/>
        </w:rPr>
        <w:t>Compared to existing (202</w:t>
      </w:r>
      <w:r w:rsidR="00A80868">
        <w:rPr>
          <w:color w:val="800080" w:themeColor="accent3"/>
        </w:rPr>
        <w:t>3</w:t>
      </w:r>
      <w:r w:rsidRPr="007315DB">
        <w:rPr>
          <w:color w:val="800080" w:themeColor="accent3"/>
        </w:rPr>
        <w:t xml:space="preserve">) conditions, operation of either build alternative or </w:t>
      </w:r>
      <w:r w:rsidR="007530A9">
        <w:rPr>
          <w:color w:val="800080" w:themeColor="accent3"/>
        </w:rPr>
        <w:t xml:space="preserve">the </w:t>
      </w:r>
      <w:r w:rsidRPr="007315DB">
        <w:rPr>
          <w:color w:val="800080" w:themeColor="accent3"/>
        </w:rPr>
        <w:t>No</w:t>
      </w:r>
      <w:r w:rsidR="0093673A">
        <w:rPr>
          <w:color w:val="800080" w:themeColor="accent3"/>
        </w:rPr>
        <w:t>-</w:t>
      </w:r>
      <w:r w:rsidRPr="007315DB">
        <w:rPr>
          <w:color w:val="800080" w:themeColor="accent3"/>
        </w:rPr>
        <w:t>Build Alternative under both future year conditions would increase direct energy</w:t>
      </w:r>
      <w:r w:rsidR="00851223" w:rsidRPr="007315DB">
        <w:rPr>
          <w:color w:val="800080" w:themeColor="accent3"/>
        </w:rPr>
        <w:t xml:space="preserve">.  </w:t>
      </w:r>
      <w:r w:rsidRPr="007315DB">
        <w:rPr>
          <w:color w:val="800080" w:themeColor="accent3"/>
        </w:rPr>
        <w:t>These results are exclusively due to factors external to the project</w:t>
      </w:r>
      <w:r w:rsidR="00851223" w:rsidRPr="007315DB">
        <w:rPr>
          <w:color w:val="800080" w:themeColor="accent3"/>
        </w:rPr>
        <w:t xml:space="preserve">.  </w:t>
      </w:r>
      <w:r w:rsidRPr="007315DB">
        <w:rPr>
          <w:color w:val="800080" w:themeColor="accent3"/>
        </w:rPr>
        <w:t xml:space="preserve">The increase in direct </w:t>
      </w:r>
      <w:r w:rsidRPr="007315DB">
        <w:rPr>
          <w:color w:val="800080" w:themeColor="accent3"/>
        </w:rPr>
        <w:lastRenderedPageBreak/>
        <w:t>energy is due to background growth in VMT, as shown in Table 4-2</w:t>
      </w:r>
      <w:r w:rsidR="00851223" w:rsidRPr="007315DB">
        <w:rPr>
          <w:color w:val="800080" w:themeColor="accent3"/>
        </w:rPr>
        <w:t xml:space="preserve">.  </w:t>
      </w:r>
      <w:r w:rsidRPr="007315DB">
        <w:rPr>
          <w:color w:val="800080" w:themeColor="accent3"/>
        </w:rPr>
        <w:t>However, while direct energy is expected to increase in both future year conditions, the amount of increase is less than the growth in VMT</w:t>
      </w:r>
      <w:r w:rsidR="00851223" w:rsidRPr="007315DB">
        <w:rPr>
          <w:color w:val="800080" w:themeColor="accent3"/>
        </w:rPr>
        <w:t xml:space="preserve">.  </w:t>
      </w:r>
      <w:r w:rsidRPr="007315DB">
        <w:rPr>
          <w:color w:val="800080" w:themeColor="accent3"/>
        </w:rPr>
        <w:t xml:space="preserve">The growth in opening (2025) year VMT over existing conditions VMT is </w:t>
      </w:r>
      <w:r w:rsidR="00676D88">
        <w:rPr>
          <w:color w:val="800080" w:themeColor="accent3"/>
        </w:rPr>
        <w:t>[value]</w:t>
      </w:r>
      <w:r w:rsidRPr="007315DB">
        <w:rPr>
          <w:color w:val="800080" w:themeColor="accent3"/>
        </w:rPr>
        <w:t xml:space="preserve">, whereas the growth in direct energy is </w:t>
      </w:r>
      <w:r w:rsidR="00676D88">
        <w:rPr>
          <w:color w:val="800080" w:themeColor="accent3"/>
        </w:rPr>
        <w:t>[value]</w:t>
      </w:r>
      <w:r w:rsidRPr="007315DB">
        <w:rPr>
          <w:color w:val="800080" w:themeColor="accent3"/>
        </w:rPr>
        <w:t xml:space="preserve"> to </w:t>
      </w:r>
      <w:r w:rsidR="00676D88">
        <w:rPr>
          <w:color w:val="800080" w:themeColor="accent3"/>
        </w:rPr>
        <w:t>[value]</w:t>
      </w:r>
      <w:r w:rsidRPr="007315DB">
        <w:rPr>
          <w:color w:val="800080" w:themeColor="accent3"/>
        </w:rPr>
        <w:t>, depending on the alternative</w:t>
      </w:r>
      <w:r w:rsidR="00851223" w:rsidRPr="007315DB">
        <w:rPr>
          <w:color w:val="800080" w:themeColor="accent3"/>
        </w:rPr>
        <w:t xml:space="preserve">.  </w:t>
      </w:r>
      <w:r w:rsidRPr="007315DB">
        <w:rPr>
          <w:color w:val="800080" w:themeColor="accent3"/>
        </w:rPr>
        <w:t xml:space="preserve">The growth in design (2045) year VMT over existing conditions is </w:t>
      </w:r>
      <w:r w:rsidR="00676D88">
        <w:rPr>
          <w:color w:val="800080" w:themeColor="accent3"/>
        </w:rPr>
        <w:t>[value]</w:t>
      </w:r>
      <w:r w:rsidRPr="007315DB">
        <w:rPr>
          <w:color w:val="800080" w:themeColor="accent3"/>
        </w:rPr>
        <w:t xml:space="preserve">, whereas the growth in direct energy is only </w:t>
      </w:r>
      <w:r w:rsidR="00676D88">
        <w:rPr>
          <w:color w:val="800080" w:themeColor="accent3"/>
        </w:rPr>
        <w:t>[value]</w:t>
      </w:r>
      <w:r w:rsidRPr="007315DB">
        <w:rPr>
          <w:color w:val="800080" w:themeColor="accent3"/>
        </w:rPr>
        <w:t xml:space="preserve"> to </w:t>
      </w:r>
      <w:r w:rsidR="00676D88">
        <w:rPr>
          <w:color w:val="800080" w:themeColor="accent3"/>
        </w:rPr>
        <w:t>[value]</w:t>
      </w:r>
      <w:r w:rsidRPr="007315DB">
        <w:rPr>
          <w:color w:val="800080" w:themeColor="accent3"/>
        </w:rPr>
        <w:t xml:space="preserve">, depending on the alternative. </w:t>
      </w:r>
      <w:r w:rsidR="0079514C">
        <w:rPr>
          <w:color w:val="800080" w:themeColor="accent3"/>
        </w:rPr>
        <w:t xml:space="preserve"> </w:t>
      </w:r>
      <w:r w:rsidRPr="007315DB">
        <w:rPr>
          <w:color w:val="800080" w:themeColor="accent3"/>
        </w:rPr>
        <w:t xml:space="preserve">These trends are attributed to future improvements in vehicle fuel economy and penetration of more efficient electric vehicles stemming from various energy policies and legislation, as discussed in Chapter 2, </w:t>
      </w:r>
      <w:r w:rsidRPr="007315DB">
        <w:rPr>
          <w:i/>
          <w:iCs/>
          <w:color w:val="800080" w:themeColor="accent3"/>
        </w:rPr>
        <w:t>Regulatory Setting</w:t>
      </w:r>
      <w:r w:rsidRPr="007315DB">
        <w:rPr>
          <w:color w:val="800080" w:themeColor="accent3"/>
        </w:rPr>
        <w:t xml:space="preserve">.  </w:t>
      </w:r>
    </w:p>
    <w:p w14:paraId="60194197" w14:textId="5EB61032" w:rsidR="007315DB" w:rsidRPr="007315DB" w:rsidRDefault="007315DB" w:rsidP="007315DB">
      <w:pPr>
        <w:rPr>
          <w:color w:val="800080" w:themeColor="accent3"/>
        </w:rPr>
      </w:pPr>
      <w:r w:rsidRPr="007315DB">
        <w:rPr>
          <w:color w:val="800080" w:themeColor="accent3"/>
        </w:rPr>
        <w:t xml:space="preserve">As shown in Table 4-2, neither build alternative </w:t>
      </w:r>
      <w:bookmarkStart w:id="129" w:name="_Hlk149028334"/>
      <w:r w:rsidRPr="007315DB">
        <w:rPr>
          <w:color w:val="800080" w:themeColor="accent3"/>
        </w:rPr>
        <w:t>would increase capacity or materially change regional annual VMT compared to the No-Build Alternative</w:t>
      </w:r>
      <w:bookmarkEnd w:id="129"/>
      <w:r w:rsidR="00851223" w:rsidRPr="007315DB">
        <w:rPr>
          <w:color w:val="800080" w:themeColor="accent3"/>
        </w:rPr>
        <w:t xml:space="preserve">.  </w:t>
      </w:r>
      <w:r w:rsidRPr="007315DB">
        <w:rPr>
          <w:color w:val="800080" w:themeColor="accent3"/>
        </w:rPr>
        <w:t xml:space="preserve">However, </w:t>
      </w:r>
      <w:bookmarkStart w:id="130" w:name="_Hlk149028390"/>
      <w:r w:rsidRPr="007315DB">
        <w:rPr>
          <w:color w:val="800080" w:themeColor="accent3"/>
        </w:rPr>
        <w:t>implementation of either build alternative would improve traffic flow during peak travel demand periods and reduce stop-and-go conditions</w:t>
      </w:r>
      <w:bookmarkEnd w:id="130"/>
      <w:r w:rsidR="00851223" w:rsidRPr="007315DB">
        <w:rPr>
          <w:color w:val="800080" w:themeColor="accent3"/>
        </w:rPr>
        <w:t xml:space="preserve">.  </w:t>
      </w:r>
      <w:r w:rsidRPr="007315DB">
        <w:rPr>
          <w:color w:val="800080" w:themeColor="accent3"/>
        </w:rPr>
        <w:t>Vehicles traveling at free-flow speeds are more fuel efficient</w:t>
      </w:r>
      <w:r w:rsidR="00851223" w:rsidRPr="007315DB">
        <w:rPr>
          <w:color w:val="800080" w:themeColor="accent3"/>
        </w:rPr>
        <w:t xml:space="preserve">.  </w:t>
      </w:r>
      <w:r w:rsidRPr="007315DB">
        <w:rPr>
          <w:color w:val="800080" w:themeColor="accent3"/>
        </w:rPr>
        <w:t>Therefore, operational improvements that smooth traffic flow and decrease traffic congestion, such as those proposed for this project, improve vehicle fuel economies</w:t>
      </w:r>
      <w:bookmarkStart w:id="131" w:name="_Hlk149028407"/>
      <w:r w:rsidR="00851223" w:rsidRPr="007315DB">
        <w:rPr>
          <w:color w:val="800080" w:themeColor="accent3"/>
        </w:rPr>
        <w:t xml:space="preserve">.  </w:t>
      </w:r>
      <w:r w:rsidRPr="007315DB">
        <w:rPr>
          <w:color w:val="800080" w:themeColor="accent3"/>
        </w:rPr>
        <w:t>This in turn results in a more efficient use of energy</w:t>
      </w:r>
      <w:bookmarkEnd w:id="131"/>
      <w:r w:rsidRPr="007315DB">
        <w:rPr>
          <w:color w:val="800080" w:themeColor="accent3"/>
        </w:rPr>
        <w:t>, which is reflected in Table 4-</w:t>
      </w:r>
      <w:r>
        <w:rPr>
          <w:color w:val="800080" w:themeColor="accent3"/>
        </w:rPr>
        <w:t>4</w:t>
      </w:r>
      <w:r w:rsidR="00851223" w:rsidRPr="007315DB">
        <w:rPr>
          <w:color w:val="800080" w:themeColor="accent3"/>
        </w:rPr>
        <w:t xml:space="preserve">.  </w:t>
      </w:r>
      <w:r w:rsidRPr="007315DB">
        <w:rPr>
          <w:color w:val="800080" w:themeColor="accent3"/>
        </w:rPr>
        <w:t>As shown in the table, direct energy use by either build alternative under both future year conditions is expected to decrease slightly compared to the No-Build Alternative</w:t>
      </w:r>
      <w:r w:rsidR="00851223" w:rsidRPr="007315DB">
        <w:rPr>
          <w:color w:val="800080" w:themeColor="accent3"/>
        </w:rPr>
        <w:t xml:space="preserve">.  </w:t>
      </w:r>
      <w:r w:rsidRPr="007315DB">
        <w:rPr>
          <w:color w:val="800080" w:themeColor="accent3"/>
        </w:rPr>
        <w:t>The amount of direct energy consumed by Alternative 2 is slightly less than Alternative 1, although the quantities are comparable</w:t>
      </w:r>
      <w:r w:rsidR="00851223" w:rsidRPr="007315DB">
        <w:rPr>
          <w:color w:val="800080" w:themeColor="accent3"/>
        </w:rPr>
        <w:t xml:space="preserve">.  </w:t>
      </w:r>
      <w:r w:rsidRPr="007315DB">
        <w:rPr>
          <w:color w:val="800080" w:themeColor="accent3"/>
        </w:rPr>
        <w:t xml:space="preserve">Ultimately, the travel time improvements achieved by reduced congestion under either build alternative will enhance systemwide operational productivity and associated energy efficiency. </w:t>
      </w:r>
    </w:p>
    <w:p w14:paraId="3E32A92C" w14:textId="102797D5" w:rsidR="00384B82" w:rsidRPr="00384B82" w:rsidRDefault="007315DB" w:rsidP="007315DB">
      <w:pPr>
        <w:rPr>
          <w:color w:val="800080" w:themeColor="accent3"/>
        </w:rPr>
      </w:pPr>
      <w:bookmarkStart w:id="132" w:name="_Hlk149028672"/>
      <w:r w:rsidRPr="007315DB">
        <w:rPr>
          <w:color w:val="800080" w:themeColor="accent3"/>
        </w:rPr>
        <w:t>The build alternatives also include several TSM elements</w:t>
      </w:r>
      <w:bookmarkEnd w:id="132"/>
      <w:r w:rsidR="00851223" w:rsidRPr="007315DB">
        <w:rPr>
          <w:color w:val="800080" w:themeColor="accent3"/>
        </w:rPr>
        <w:t xml:space="preserve">.  </w:t>
      </w:r>
      <w:r w:rsidRPr="007315DB">
        <w:rPr>
          <w:color w:val="800080" w:themeColor="accent3"/>
        </w:rPr>
        <w:t>Existing bicycle and pedestrian networks</w:t>
      </w:r>
      <w:r>
        <w:rPr>
          <w:color w:val="800080" w:themeColor="accent3"/>
        </w:rPr>
        <w:t xml:space="preserve"> </w:t>
      </w:r>
      <w:r w:rsidRPr="007315DB">
        <w:rPr>
          <w:color w:val="800080" w:themeColor="accent3"/>
        </w:rPr>
        <w:t>would both be expanded within the project footprint</w:t>
      </w:r>
      <w:r w:rsidR="00851223" w:rsidRPr="007315DB">
        <w:rPr>
          <w:color w:val="800080" w:themeColor="accent3"/>
        </w:rPr>
        <w:t xml:space="preserve">.  </w:t>
      </w:r>
      <w:r w:rsidRPr="007315DB">
        <w:rPr>
          <w:color w:val="800080" w:themeColor="accent3"/>
        </w:rPr>
        <w:t xml:space="preserve">New </w:t>
      </w:r>
      <w:r w:rsidR="000374AC" w:rsidRPr="000374AC">
        <w:rPr>
          <w:color w:val="800080" w:themeColor="accent3"/>
        </w:rPr>
        <w:t xml:space="preserve">bike lanes </w:t>
      </w:r>
      <w:r w:rsidRPr="007315DB">
        <w:rPr>
          <w:color w:val="800080" w:themeColor="accent3"/>
        </w:rPr>
        <w:t>would be constructed on</w:t>
      </w:r>
      <w:r>
        <w:rPr>
          <w:color w:val="800080" w:themeColor="accent3"/>
        </w:rPr>
        <w:t xml:space="preserve"> </w:t>
      </w:r>
      <w:r w:rsidRPr="007315DB">
        <w:rPr>
          <w:color w:val="800080" w:themeColor="accent3"/>
        </w:rPr>
        <w:t xml:space="preserve">Roadway C and Roadway D to improve connections within neighborhoods and </w:t>
      </w:r>
      <w:r w:rsidR="006B3F76">
        <w:rPr>
          <w:color w:val="800080" w:themeColor="accent3"/>
        </w:rPr>
        <w:t xml:space="preserve">to </w:t>
      </w:r>
      <w:r w:rsidRPr="007315DB">
        <w:rPr>
          <w:color w:val="800080" w:themeColor="accent3"/>
        </w:rPr>
        <w:t>the Central Business District</w:t>
      </w:r>
      <w:r w:rsidR="00851223" w:rsidRPr="007315DB">
        <w:rPr>
          <w:color w:val="800080" w:themeColor="accent3"/>
        </w:rPr>
        <w:t xml:space="preserve">.  </w:t>
      </w:r>
      <w:r w:rsidRPr="007315DB">
        <w:rPr>
          <w:color w:val="800080" w:themeColor="accent3"/>
        </w:rPr>
        <w:t>Pedestrian facilities on Roadway C and Roadway D would also be upgraded, and new sidewalks would be installed to close existing gaps and meet ADA compliance standards</w:t>
      </w:r>
      <w:r w:rsidR="00851223" w:rsidRPr="007315DB">
        <w:rPr>
          <w:color w:val="800080" w:themeColor="accent3"/>
        </w:rPr>
        <w:t xml:space="preserve">.  </w:t>
      </w:r>
      <w:r w:rsidRPr="007315DB">
        <w:rPr>
          <w:color w:val="800080" w:themeColor="accent3"/>
        </w:rPr>
        <w:t xml:space="preserve">Improvements to </w:t>
      </w:r>
      <w:bookmarkStart w:id="133" w:name="_Hlk149028707"/>
      <w:r w:rsidRPr="007315DB">
        <w:rPr>
          <w:color w:val="800080" w:themeColor="accent3"/>
        </w:rPr>
        <w:t xml:space="preserve">bicycle and pedestrian networks </w:t>
      </w:r>
      <w:bookmarkEnd w:id="133"/>
      <w:r w:rsidRPr="007315DB">
        <w:rPr>
          <w:color w:val="800080" w:themeColor="accent3"/>
        </w:rPr>
        <w:t>encourage walking and bicycling within the project footprint</w:t>
      </w:r>
      <w:r w:rsidR="00851223" w:rsidRPr="007315DB">
        <w:rPr>
          <w:color w:val="800080" w:themeColor="accent3"/>
        </w:rPr>
        <w:t xml:space="preserve">.  </w:t>
      </w:r>
      <w:r w:rsidRPr="007315DB">
        <w:rPr>
          <w:color w:val="800080" w:themeColor="accent3"/>
        </w:rPr>
        <w:t>Increased walking and biking would help reduce local automobile traffic, support mode shift, and further reduce direct energy consumption.  Finally, three traffic signals would be installed under either build alternative</w:t>
      </w:r>
      <w:r w:rsidR="00851223" w:rsidRPr="007315DB">
        <w:rPr>
          <w:color w:val="800080" w:themeColor="accent3"/>
        </w:rPr>
        <w:t xml:space="preserve">.  </w:t>
      </w:r>
      <w:r w:rsidRPr="007315DB">
        <w:rPr>
          <w:color w:val="800080" w:themeColor="accent3"/>
        </w:rPr>
        <w:t>These signals would be coordinated to promote the efficient flow of traffic, resulting in less vehicle fuel consumption and direct energy</w:t>
      </w:r>
      <w:r>
        <w:rPr>
          <w:color w:val="800080" w:themeColor="accent3"/>
        </w:rPr>
        <w:t>.</w:t>
      </w:r>
      <w:r w:rsidRPr="007315DB">
        <w:rPr>
          <w:b/>
          <w:bCs/>
          <w:color w:val="0000FF" w:themeColor="accent1"/>
        </w:rPr>
        <w:t xml:space="preserve"> </w:t>
      </w:r>
      <w:r>
        <w:rPr>
          <w:b/>
          <w:bCs/>
          <w:color w:val="0000FF" w:themeColor="accent1"/>
        </w:rPr>
        <w:t xml:space="preserve"> </w:t>
      </w:r>
      <w:r w:rsidRPr="00752C53">
        <w:rPr>
          <w:b/>
          <w:bCs/>
          <w:color w:val="0000FF" w:themeColor="accent1"/>
        </w:rPr>
        <w:t>[End example]</w:t>
      </w:r>
    </w:p>
    <w:p w14:paraId="60B5E986" w14:textId="0A7C6F2C" w:rsidR="0090186C" w:rsidRPr="00612793" w:rsidRDefault="007315DB"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3A4F3" w14:textId="77777777" w:rsidR="0099598E" w:rsidRDefault="0099598E" w:rsidP="0099598E">
      <w:pPr>
        <w:pStyle w:val="Heading2"/>
      </w:pPr>
      <w:bookmarkStart w:id="134" w:name="_Toc150334795"/>
      <w:bookmarkStart w:id="135" w:name="_Toc157429592"/>
      <w:r>
        <w:t>Indirect Energy</w:t>
      </w:r>
      <w:bookmarkEnd w:id="134"/>
      <w:bookmarkEnd w:id="135"/>
      <w:r>
        <w:t xml:space="preserve"> </w:t>
      </w:r>
    </w:p>
    <w:p w14:paraId="68686053" w14:textId="2FDA4275" w:rsidR="00B478CA" w:rsidRDefault="00B478CA" w:rsidP="00B478CA">
      <w:pPr>
        <w:pStyle w:val="IntroGuidanceHeading1"/>
      </w:pPr>
      <w:r>
        <w:t>GUIDANCE</w:t>
      </w:r>
    </w:p>
    <w:p w14:paraId="23B4533A" w14:textId="77777777" w:rsidR="00814AA7" w:rsidRPr="00814AA7" w:rsidRDefault="00814AA7" w:rsidP="00814AA7">
      <w:pPr>
        <w:rPr>
          <w:color w:val="0000FF" w:themeColor="accent1"/>
        </w:rPr>
      </w:pPr>
      <w:r w:rsidRPr="00814AA7">
        <w:rPr>
          <w:color w:val="0000FF" w:themeColor="accent1"/>
        </w:rPr>
        <w:t xml:space="preserve">This section should evaluate the following three types of indirect energy: </w:t>
      </w:r>
    </w:p>
    <w:p w14:paraId="57E98EC4" w14:textId="77777777" w:rsidR="00814AA7" w:rsidRPr="00814AA7" w:rsidRDefault="00814AA7" w:rsidP="00814AA7">
      <w:pPr>
        <w:numPr>
          <w:ilvl w:val="0"/>
          <w:numId w:val="21"/>
        </w:numPr>
        <w:rPr>
          <w:color w:val="0000FF" w:themeColor="accent1"/>
        </w:rPr>
      </w:pPr>
      <w:r w:rsidRPr="00814AA7">
        <w:rPr>
          <w:color w:val="0000FF" w:themeColor="accent1"/>
        </w:rPr>
        <w:t xml:space="preserve">Construction: Energy consumed by construction equipment and vehicles. </w:t>
      </w:r>
    </w:p>
    <w:p w14:paraId="3616E5F9" w14:textId="77777777" w:rsidR="00814AA7" w:rsidRPr="00814AA7" w:rsidRDefault="00814AA7" w:rsidP="00814AA7">
      <w:pPr>
        <w:numPr>
          <w:ilvl w:val="0"/>
          <w:numId w:val="21"/>
        </w:numPr>
        <w:rPr>
          <w:color w:val="0000FF" w:themeColor="accent1"/>
        </w:rPr>
      </w:pPr>
      <w:r w:rsidRPr="00814AA7">
        <w:rPr>
          <w:color w:val="0000FF" w:themeColor="accent1"/>
        </w:rPr>
        <w:lastRenderedPageBreak/>
        <w:t>Maintenance: Energy consumed by equipment and vehicles required to maintain the project facility(</w:t>
      </w:r>
      <w:proofErr w:type="spellStart"/>
      <w:r w:rsidRPr="00814AA7">
        <w:rPr>
          <w:color w:val="0000FF" w:themeColor="accent1"/>
        </w:rPr>
        <w:t>ies</w:t>
      </w:r>
      <w:proofErr w:type="spellEnd"/>
      <w:r w:rsidRPr="00814AA7">
        <w:rPr>
          <w:color w:val="0000FF" w:themeColor="accent1"/>
        </w:rPr>
        <w:t xml:space="preserve">), including landscaping equipment. </w:t>
      </w:r>
    </w:p>
    <w:p w14:paraId="27814319" w14:textId="421E203B" w:rsidR="00814AA7" w:rsidRPr="00814AA7" w:rsidRDefault="00814AA7" w:rsidP="00814AA7">
      <w:pPr>
        <w:numPr>
          <w:ilvl w:val="0"/>
          <w:numId w:val="21"/>
        </w:numPr>
        <w:rPr>
          <w:color w:val="0000FF" w:themeColor="accent1"/>
        </w:rPr>
      </w:pPr>
      <w:r w:rsidRPr="00814AA7">
        <w:rPr>
          <w:color w:val="0000FF" w:themeColor="accent1"/>
        </w:rPr>
        <w:t>Operations: Energy consumed by traffic lights, street</w:t>
      </w:r>
      <w:r w:rsidR="00B50860">
        <w:rPr>
          <w:color w:val="0000FF" w:themeColor="accent1"/>
        </w:rPr>
        <w:t xml:space="preserve"> </w:t>
      </w:r>
      <w:r w:rsidRPr="00814AA7">
        <w:rPr>
          <w:color w:val="0000FF" w:themeColor="accent1"/>
        </w:rPr>
        <w:t>lights, or changeable message signs; operation of buildings (e.g., rest areas, maintenance buildings), if any.</w:t>
      </w:r>
    </w:p>
    <w:p w14:paraId="07443CA7" w14:textId="24F7CE0E" w:rsidR="00B478CA" w:rsidRPr="0015352A" w:rsidRDefault="00814AA7" w:rsidP="00814AA7">
      <w:pPr>
        <w:rPr>
          <w:color w:val="0000FF" w:themeColor="accent1"/>
        </w:rPr>
      </w:pPr>
      <w:r w:rsidRPr="00814AA7">
        <w:rPr>
          <w:color w:val="0000FF" w:themeColor="accent1"/>
        </w:rPr>
        <w:t>Begin with the following boilerplate text</w:t>
      </w:r>
      <w:r w:rsidR="00B478CA" w:rsidRPr="0015352A">
        <w:rPr>
          <w:color w:val="0000FF" w:themeColor="accent1"/>
        </w:rPr>
        <w:t xml:space="preserve">. </w:t>
      </w:r>
    </w:p>
    <w:p w14:paraId="1F53AEDF" w14:textId="6E11F2F4" w:rsidR="00B478CA" w:rsidRDefault="0033642F" w:rsidP="00B478CA">
      <w:pPr>
        <w:rPr>
          <w:b/>
          <w:bCs/>
          <w:color w:val="A50021" w:themeColor="accent2"/>
        </w:rPr>
      </w:pPr>
      <w:r w:rsidRPr="0033642F">
        <w:rPr>
          <w:color w:val="A50021" w:themeColor="accent2"/>
        </w:rPr>
        <w:t>Indirect energy includes fuel consumed during construction and for maintenance and operation of project elements</w:t>
      </w:r>
      <w:r w:rsidR="00851223" w:rsidRPr="0033642F">
        <w:rPr>
          <w:color w:val="A50021" w:themeColor="accent2"/>
        </w:rPr>
        <w:t xml:space="preserve">.  </w:t>
      </w:r>
      <w:r w:rsidRPr="0033642F">
        <w:rPr>
          <w:color w:val="A50021" w:themeColor="accent2"/>
        </w:rPr>
        <w:t>The following sections analyze each of these types of indirect energy.</w:t>
      </w:r>
      <w:r>
        <w:rPr>
          <w:color w:val="A50021" w:themeColor="accent2"/>
        </w:rPr>
        <w:t xml:space="preserve">  </w:t>
      </w:r>
      <w:r w:rsidRPr="00752C53">
        <w:rPr>
          <w:b/>
          <w:bCs/>
          <w:color w:val="0000FF" w:themeColor="accent1"/>
        </w:rPr>
        <w:t xml:space="preserve">[End </w:t>
      </w:r>
      <w:r w:rsidRPr="00207B23">
        <w:rPr>
          <w:b/>
          <w:bCs/>
          <w:color w:val="0000FF" w:themeColor="accent1"/>
        </w:rPr>
        <w:t>boilerplate</w:t>
      </w:r>
      <w:r w:rsidRPr="00752C53">
        <w:rPr>
          <w:b/>
          <w:bCs/>
          <w:color w:val="0000FF" w:themeColor="accent1"/>
        </w:rPr>
        <w:t>]</w:t>
      </w:r>
    </w:p>
    <w:p w14:paraId="123D5B19" w14:textId="20293536" w:rsidR="0033642F" w:rsidRDefault="007B06B8" w:rsidP="0033642F">
      <w:pPr>
        <w:pStyle w:val="Heading3"/>
      </w:pPr>
      <w:bookmarkStart w:id="136" w:name="_Toc150334796"/>
      <w:bookmarkStart w:id="137" w:name="_Toc157429593"/>
      <w:r>
        <w:t>Construction</w:t>
      </w:r>
      <w:bookmarkEnd w:id="136"/>
      <w:bookmarkEnd w:id="137"/>
      <w:r>
        <w:t xml:space="preserve"> </w:t>
      </w:r>
    </w:p>
    <w:p w14:paraId="6BEF654C" w14:textId="77777777" w:rsidR="007B06B8" w:rsidRDefault="007B06B8" w:rsidP="007B06B8">
      <w:pPr>
        <w:pStyle w:val="IntroGuidanceHeading1"/>
      </w:pPr>
      <w:r>
        <w:t>GUIDANCE</w:t>
      </w:r>
    </w:p>
    <w:p w14:paraId="52297F39" w14:textId="1758E2B9" w:rsidR="00942B43" w:rsidRPr="00942B43" w:rsidRDefault="00942B43" w:rsidP="00942B43">
      <w:pPr>
        <w:rPr>
          <w:color w:val="0000FF" w:themeColor="accent1"/>
        </w:rPr>
      </w:pPr>
      <w:r w:rsidRPr="00942B43">
        <w:rPr>
          <w:color w:val="0000FF" w:themeColor="accent1"/>
        </w:rPr>
        <w:t>All projects must quantify indirect construction energy</w:t>
      </w:r>
      <w:r w:rsidR="00851223" w:rsidRPr="00942B43">
        <w:rPr>
          <w:color w:val="0000FF" w:themeColor="accent1"/>
        </w:rPr>
        <w:t xml:space="preserve">.  </w:t>
      </w:r>
      <w:r w:rsidRPr="00942B43">
        <w:rPr>
          <w:color w:val="0000FF" w:themeColor="accent1"/>
        </w:rPr>
        <w:t>The basic procedure for analyzing indirect energy consumption from construction activities is to obtain fuel consumption projections in gallons and electricity used in kWh from the Caltrans Construction Emission Tool (CAL-CET)</w:t>
      </w:r>
      <w:r w:rsidR="00851223" w:rsidRPr="00942B43">
        <w:rPr>
          <w:color w:val="0000FF" w:themeColor="accent1"/>
        </w:rPr>
        <w:t xml:space="preserve">.  </w:t>
      </w:r>
      <w:r w:rsidRPr="00942B43">
        <w:rPr>
          <w:color w:val="0000FF" w:themeColor="accent1"/>
        </w:rPr>
        <w:t>CAL-CET outputs both emissions and energy consumption based on project-specific construction information</w:t>
      </w:r>
      <w:r w:rsidR="00851223" w:rsidRPr="00942B43">
        <w:rPr>
          <w:color w:val="0000FF" w:themeColor="accent1"/>
        </w:rPr>
        <w:t xml:space="preserve">.  </w:t>
      </w:r>
      <w:r w:rsidRPr="00942B43">
        <w:rPr>
          <w:color w:val="0000FF" w:themeColor="accent1"/>
        </w:rPr>
        <w:t xml:space="preserve">Because all Caltrans projects must quantify </w:t>
      </w:r>
      <w:r w:rsidR="005013ED">
        <w:rPr>
          <w:color w:val="0000FF" w:themeColor="accent1"/>
        </w:rPr>
        <w:t xml:space="preserve">construction </w:t>
      </w:r>
      <w:r w:rsidRPr="00942B43">
        <w:rPr>
          <w:color w:val="0000FF" w:themeColor="accent1"/>
        </w:rPr>
        <w:t xml:space="preserve">GHG emissions, CAL-CET outputs may be obtained from the modeling conducted for the project GHG analysis. </w:t>
      </w:r>
    </w:p>
    <w:p w14:paraId="4666A297" w14:textId="3EA01C61" w:rsidR="00942B43" w:rsidRPr="00942B43" w:rsidRDefault="00942B43" w:rsidP="00942B43">
      <w:pPr>
        <w:rPr>
          <w:color w:val="0000FF" w:themeColor="accent1"/>
        </w:rPr>
      </w:pPr>
      <w:r w:rsidRPr="00942B43">
        <w:rPr>
          <w:color w:val="0000FF" w:themeColor="accent1"/>
        </w:rPr>
        <w:t>If the project GHG analysis used a different emission tool and energy consumption data are not available, fuel consumption may be converted from carbon dioxide (CO</w:t>
      </w:r>
      <w:r w:rsidRPr="00942B43">
        <w:rPr>
          <w:color w:val="0000FF" w:themeColor="accent1"/>
          <w:vertAlign w:val="subscript"/>
        </w:rPr>
        <w:t>2</w:t>
      </w:r>
      <w:r w:rsidRPr="00942B43">
        <w:rPr>
          <w:color w:val="0000FF" w:themeColor="accent1"/>
        </w:rPr>
        <w:t>) emissions generated by diesel and gasoline powered equipment using the U</w:t>
      </w:r>
      <w:r w:rsidR="00D30325">
        <w:rPr>
          <w:color w:val="0000FF" w:themeColor="accent1"/>
        </w:rPr>
        <w:t>.</w:t>
      </w:r>
      <w:r w:rsidRPr="00942B43">
        <w:rPr>
          <w:color w:val="0000FF" w:themeColor="accent1"/>
        </w:rPr>
        <w:t>S</w:t>
      </w:r>
      <w:r w:rsidR="00D30325">
        <w:rPr>
          <w:color w:val="0000FF" w:themeColor="accent1"/>
        </w:rPr>
        <w:t xml:space="preserve">. </w:t>
      </w:r>
      <w:r w:rsidRPr="00942B43">
        <w:rPr>
          <w:color w:val="0000FF" w:themeColor="accent1"/>
        </w:rPr>
        <w:t>EPA</w:t>
      </w:r>
      <w:r w:rsidR="00077D43">
        <w:rPr>
          <w:color w:val="0000FF" w:themeColor="accent1"/>
        </w:rPr>
        <w:t xml:space="preserve">’s </w:t>
      </w:r>
      <w:hyperlink r:id="rId36" w:history="1">
        <w:r w:rsidR="00077D43" w:rsidRPr="00077D43">
          <w:rPr>
            <w:rStyle w:val="Hyperlink"/>
          </w:rPr>
          <w:t>Carbon Dioxide Emissio</w:t>
        </w:r>
        <w:r w:rsidR="00077D43" w:rsidRPr="00077D43">
          <w:rPr>
            <w:rStyle w:val="Hyperlink"/>
          </w:rPr>
          <w:t>n</w:t>
        </w:r>
        <w:r w:rsidR="00077D43" w:rsidRPr="00077D43">
          <w:rPr>
            <w:rStyle w:val="Hyperlink"/>
          </w:rPr>
          <w:t>s Coefficients</w:t>
        </w:r>
      </w:hyperlink>
      <w:r w:rsidR="00077D43">
        <w:rPr>
          <w:color w:val="0000FF" w:themeColor="accent1"/>
        </w:rPr>
        <w:t xml:space="preserve">. </w:t>
      </w:r>
      <w:r w:rsidRPr="00942B43">
        <w:rPr>
          <w:color w:val="0000FF" w:themeColor="accent1"/>
        </w:rPr>
        <w:t xml:space="preserve"> CO</w:t>
      </w:r>
      <w:r w:rsidRPr="00942B43">
        <w:rPr>
          <w:color w:val="0000FF" w:themeColor="accent1"/>
          <w:vertAlign w:val="subscript"/>
        </w:rPr>
        <w:t>2</w:t>
      </w:r>
      <w:r w:rsidRPr="00942B43">
        <w:rPr>
          <w:color w:val="0000FF" w:themeColor="accent1"/>
        </w:rPr>
        <w:t xml:space="preserve"> emissions should be obtained from the project GHG analysis or AQR, where they may have been quantified using the latest version of the California Emissions Estimator Model (CalEEMod). </w:t>
      </w:r>
    </w:p>
    <w:p w14:paraId="6A784482" w14:textId="77777777" w:rsidR="00942B43" w:rsidRPr="00942B43" w:rsidRDefault="00942B43" w:rsidP="00942B43">
      <w:pPr>
        <w:rPr>
          <w:color w:val="0000FF" w:themeColor="accent1"/>
        </w:rPr>
      </w:pPr>
      <w:r w:rsidRPr="00942B43">
        <w:rPr>
          <w:color w:val="0000FF" w:themeColor="accent1"/>
        </w:rPr>
        <w:t xml:space="preserve">Convert the quantified fuel consumption into equivalent BTU using the factors provided in Table 4-1 in Section 4.1, </w:t>
      </w:r>
      <w:r w:rsidRPr="00942B43">
        <w:rPr>
          <w:i/>
          <w:iCs/>
          <w:color w:val="0000FF" w:themeColor="accent1"/>
        </w:rPr>
        <w:t>Introduction</w:t>
      </w:r>
      <w:r w:rsidRPr="00942B43">
        <w:rPr>
          <w:color w:val="0000FF" w:themeColor="accent1"/>
        </w:rPr>
        <w:t xml:space="preserve">. </w:t>
      </w:r>
    </w:p>
    <w:p w14:paraId="5A0DFC4F" w14:textId="612AE458" w:rsidR="007B06B8" w:rsidRPr="00814AA7" w:rsidRDefault="00942B43" w:rsidP="00942B43">
      <w:pPr>
        <w:rPr>
          <w:color w:val="0000FF" w:themeColor="accent1"/>
        </w:rPr>
      </w:pPr>
      <w:r w:rsidRPr="00942B43">
        <w:rPr>
          <w:color w:val="0000FF" w:themeColor="accent1"/>
        </w:rPr>
        <w:t>Describe the approach used to quantify construction fuel consumption and indirect construction energy</w:t>
      </w:r>
      <w:r w:rsidR="00851223" w:rsidRPr="00942B43">
        <w:rPr>
          <w:color w:val="0000FF" w:themeColor="accent1"/>
        </w:rPr>
        <w:t xml:space="preserve">.  </w:t>
      </w:r>
      <w:r w:rsidRPr="00942B43">
        <w:rPr>
          <w:color w:val="0000FF" w:themeColor="accent1"/>
        </w:rPr>
        <w:t>Document the fuel consumption and indirect energy in summary tables</w:t>
      </w:r>
      <w:r w:rsidR="00851223" w:rsidRPr="00942B43">
        <w:rPr>
          <w:color w:val="0000FF" w:themeColor="accent1"/>
        </w:rPr>
        <w:t xml:space="preserve">.  </w:t>
      </w:r>
      <w:r w:rsidRPr="00942B43">
        <w:rPr>
          <w:color w:val="0000FF" w:themeColor="accent1"/>
        </w:rPr>
        <w:t>Model outputs should be provided in an appendix</w:t>
      </w:r>
      <w:r w:rsidR="00851223" w:rsidRPr="00942B43">
        <w:rPr>
          <w:color w:val="0000FF" w:themeColor="accent1"/>
        </w:rPr>
        <w:t xml:space="preserve">.  </w:t>
      </w:r>
      <w:r w:rsidRPr="00942B43">
        <w:rPr>
          <w:color w:val="0000FF" w:themeColor="accent1"/>
        </w:rPr>
        <w:t>Compare indirect energy among the build alternative(s)</w:t>
      </w:r>
      <w:r w:rsidR="00851223" w:rsidRPr="00942B43">
        <w:rPr>
          <w:color w:val="0000FF" w:themeColor="accent1"/>
        </w:rPr>
        <w:t xml:space="preserve">.  </w:t>
      </w:r>
      <w:r w:rsidRPr="00942B43">
        <w:rPr>
          <w:color w:val="0000FF" w:themeColor="accent1"/>
        </w:rPr>
        <w:t>Discuss energy-saving or conservation measures that have been incorporated into the project design</w:t>
      </w:r>
      <w:r>
        <w:rPr>
          <w:color w:val="0000FF" w:themeColor="accent1"/>
        </w:rPr>
        <w:t>.</w:t>
      </w:r>
      <w:r w:rsidR="007B06B8" w:rsidRPr="00814AA7">
        <w:rPr>
          <w:color w:val="0000FF" w:themeColor="accent1"/>
        </w:rPr>
        <w:t xml:space="preserve"> </w:t>
      </w:r>
    </w:p>
    <w:p w14:paraId="7E7E8590" w14:textId="59F88C5C" w:rsidR="00F56C3C" w:rsidRDefault="00F56C3C" w:rsidP="00F56C3C">
      <w:pPr>
        <w:rPr>
          <w:color w:val="800080" w:themeColor="accent3"/>
        </w:rPr>
      </w:pPr>
      <w:r>
        <w:rPr>
          <w:color w:val="0000FF" w:themeColor="accent1"/>
        </w:rPr>
        <w:t>The following is an example analysis.</w:t>
      </w:r>
      <w:r w:rsidRPr="006B3F76" w:rsidDel="007C79D3">
        <w:rPr>
          <w:color w:val="800080" w:themeColor="accent3"/>
        </w:rPr>
        <w:t xml:space="preserve"> </w:t>
      </w:r>
      <w:r w:rsidR="004B5179">
        <w:rPr>
          <w:color w:val="800080" w:themeColor="accent3"/>
        </w:rPr>
        <w:t xml:space="preserve"> </w:t>
      </w:r>
      <w:r w:rsidR="004B5179">
        <w:rPr>
          <w:color w:val="0000FF" w:themeColor="accent1"/>
        </w:rPr>
        <w:t xml:space="preserve">Note that example numeric results are provided in the tables but not in the narrative text.  </w:t>
      </w:r>
    </w:p>
    <w:p w14:paraId="7D84BE74" w14:textId="2D71CD1C" w:rsidR="0030523D" w:rsidRPr="0030523D" w:rsidRDefault="0030523D" w:rsidP="0030523D">
      <w:pPr>
        <w:rPr>
          <w:color w:val="800080" w:themeColor="accent3"/>
        </w:rPr>
      </w:pPr>
      <w:r w:rsidRPr="0030523D">
        <w:rPr>
          <w:color w:val="800080" w:themeColor="accent3"/>
        </w:rPr>
        <w:t>The No-Build Alternative does not include construction of any of the improvements associated with the build alternatives</w:t>
      </w:r>
      <w:r w:rsidR="00851223" w:rsidRPr="0030523D">
        <w:rPr>
          <w:color w:val="800080" w:themeColor="accent3"/>
        </w:rPr>
        <w:t xml:space="preserve">.  </w:t>
      </w:r>
      <w:r w:rsidRPr="0030523D">
        <w:rPr>
          <w:color w:val="800080" w:themeColor="accent3"/>
        </w:rPr>
        <w:t>Therefore, it would not have the one-time consumption of indirect energy that would occur under either build alternative.</w:t>
      </w:r>
    </w:p>
    <w:p w14:paraId="45405FF6" w14:textId="1F6D9167" w:rsidR="0030523D" w:rsidRPr="0030523D" w:rsidRDefault="0030523D" w:rsidP="0030523D">
      <w:pPr>
        <w:rPr>
          <w:color w:val="800080" w:themeColor="accent3"/>
        </w:rPr>
      </w:pPr>
      <w:bookmarkStart w:id="138" w:name="_Hlk149027928"/>
      <w:r w:rsidRPr="0030523D">
        <w:rPr>
          <w:color w:val="800080" w:themeColor="accent3"/>
        </w:rPr>
        <w:lastRenderedPageBreak/>
        <w:t xml:space="preserve">Construction of either build alternative would require equipment and vehicles that consume diesel and gasoline.  </w:t>
      </w:r>
      <w:bookmarkEnd w:id="138"/>
      <w:r w:rsidRPr="0030523D">
        <w:rPr>
          <w:color w:val="800080" w:themeColor="accent3"/>
        </w:rPr>
        <w:t xml:space="preserve">Fuel consumption during construction was calculated by converting </w:t>
      </w:r>
      <w:bookmarkStart w:id="139" w:name="_Hlk149030962"/>
      <w:r w:rsidRPr="0030523D">
        <w:rPr>
          <w:color w:val="800080" w:themeColor="accent3"/>
        </w:rPr>
        <w:t>carbon dioxide (CO</w:t>
      </w:r>
      <w:r w:rsidRPr="0030523D">
        <w:rPr>
          <w:color w:val="800080" w:themeColor="accent3"/>
          <w:vertAlign w:val="subscript"/>
        </w:rPr>
        <w:t>2</w:t>
      </w:r>
      <w:r w:rsidRPr="0030523D">
        <w:rPr>
          <w:color w:val="800080" w:themeColor="accent3"/>
        </w:rPr>
        <w:t xml:space="preserve">) </w:t>
      </w:r>
      <w:bookmarkEnd w:id="139"/>
      <w:r w:rsidRPr="0030523D">
        <w:rPr>
          <w:color w:val="800080" w:themeColor="accent3"/>
        </w:rPr>
        <w:t>emissions predicted by the California Emissions Estimator Model (CalEEMod), version 2022, using the rate of emissions emitted per gallon of combusted gasoline (19.37 pounds CO</w:t>
      </w:r>
      <w:r w:rsidRPr="0030523D">
        <w:rPr>
          <w:color w:val="800080" w:themeColor="accent3"/>
          <w:vertAlign w:val="subscript"/>
        </w:rPr>
        <w:t>2</w:t>
      </w:r>
      <w:r w:rsidRPr="0030523D">
        <w:rPr>
          <w:color w:val="800080" w:themeColor="accent3"/>
        </w:rPr>
        <w:t xml:space="preserve"> per gallon) and diesel (22.45 pounds CO</w:t>
      </w:r>
      <w:r w:rsidRPr="0030523D">
        <w:rPr>
          <w:color w:val="800080" w:themeColor="accent3"/>
          <w:vertAlign w:val="subscript"/>
        </w:rPr>
        <w:t>2</w:t>
      </w:r>
      <w:r w:rsidRPr="0030523D">
        <w:rPr>
          <w:color w:val="800080" w:themeColor="accent3"/>
        </w:rPr>
        <w:t xml:space="preserve"> per gallon) (</w:t>
      </w:r>
      <w:r w:rsidR="00412315">
        <w:rPr>
          <w:color w:val="800080" w:themeColor="accent3"/>
        </w:rPr>
        <w:t>U.S. EPA</w:t>
      </w:r>
      <w:r w:rsidRPr="0030523D">
        <w:rPr>
          <w:color w:val="800080" w:themeColor="accent3"/>
        </w:rPr>
        <w:t xml:space="preserve"> 2023)</w:t>
      </w:r>
      <w:bookmarkStart w:id="140" w:name="_Hlk149027933"/>
      <w:r w:rsidR="00851223" w:rsidRPr="0030523D">
        <w:rPr>
          <w:color w:val="800080" w:themeColor="accent3"/>
        </w:rPr>
        <w:t xml:space="preserve">.  </w:t>
      </w:r>
      <w:r w:rsidRPr="0030523D">
        <w:rPr>
          <w:color w:val="800080" w:themeColor="accent3"/>
        </w:rPr>
        <w:t xml:space="preserve">Temporary construction trailers and site lighting would also consume electricity (kWh). </w:t>
      </w:r>
      <w:bookmarkEnd w:id="140"/>
      <w:r w:rsidRPr="0030523D">
        <w:rPr>
          <w:color w:val="800080" w:themeColor="accent3"/>
        </w:rPr>
        <w:t xml:space="preserve">  </w:t>
      </w:r>
    </w:p>
    <w:p w14:paraId="246E068D" w14:textId="543BA7C8" w:rsidR="0033642F" w:rsidRDefault="0030523D" w:rsidP="0030523D">
      <w:pPr>
        <w:rPr>
          <w:color w:val="800080" w:themeColor="accent3"/>
        </w:rPr>
      </w:pPr>
      <w:r w:rsidRPr="0030523D">
        <w:rPr>
          <w:color w:val="800080" w:themeColor="accent3"/>
        </w:rPr>
        <w:t xml:space="preserve">Gasoline, diesel, and electricity consumption </w:t>
      </w:r>
      <w:bookmarkStart w:id="141" w:name="_Hlk149027963"/>
      <w:r w:rsidRPr="0030523D">
        <w:rPr>
          <w:color w:val="800080" w:themeColor="accent3"/>
        </w:rPr>
        <w:t xml:space="preserve">during construction were converted to BTU </w:t>
      </w:r>
      <w:bookmarkEnd w:id="141"/>
      <w:r w:rsidRPr="0030523D">
        <w:rPr>
          <w:color w:val="800080" w:themeColor="accent3"/>
        </w:rPr>
        <w:t>using the heat content of each fuel, as shown in Table 4-1</w:t>
      </w:r>
      <w:r w:rsidR="00851223" w:rsidRPr="0030523D">
        <w:rPr>
          <w:color w:val="800080" w:themeColor="accent3"/>
        </w:rPr>
        <w:t xml:space="preserve">.  </w:t>
      </w:r>
      <w:r w:rsidRPr="0030523D">
        <w:rPr>
          <w:color w:val="800080" w:themeColor="accent3"/>
        </w:rPr>
        <w:t>Table 4-</w:t>
      </w:r>
      <w:r>
        <w:rPr>
          <w:color w:val="800080" w:themeColor="accent3"/>
        </w:rPr>
        <w:t>5</w:t>
      </w:r>
      <w:r w:rsidRPr="0030523D">
        <w:rPr>
          <w:color w:val="800080" w:themeColor="accent3"/>
        </w:rPr>
        <w:t xml:space="preserve"> summarizes the fuel consumption estimates and indirect energy required for construction of the build alternatives</w:t>
      </w:r>
      <w:r w:rsidR="00851223" w:rsidRPr="0030523D">
        <w:rPr>
          <w:color w:val="800080" w:themeColor="accent3"/>
        </w:rPr>
        <w:t xml:space="preserve">.  </w:t>
      </w:r>
      <w:r w:rsidRPr="0030523D">
        <w:rPr>
          <w:color w:val="800080" w:themeColor="accent3"/>
        </w:rPr>
        <w:t>Refer to Appendix C for the CalEEMod output.</w:t>
      </w:r>
    </w:p>
    <w:p w14:paraId="618E6636" w14:textId="62F4B19E" w:rsidR="0030523D" w:rsidRPr="00936B73" w:rsidRDefault="004F24C2" w:rsidP="0030523D">
      <w:pPr>
        <w:pStyle w:val="TableTitle"/>
        <w:rPr>
          <w:color w:val="800080" w:themeColor="accent3"/>
        </w:rPr>
      </w:pPr>
      <w:bookmarkStart w:id="142" w:name="_Toc157429613"/>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5</w:t>
      </w:r>
      <w:r w:rsidRPr="004F24C2">
        <w:rPr>
          <w:noProof/>
          <w:color w:val="800080" w:themeColor="accent3"/>
        </w:rPr>
        <w:fldChar w:fldCharType="end"/>
      </w:r>
      <w:r w:rsidRPr="004F24C2">
        <w:rPr>
          <w:color w:val="800080" w:themeColor="accent3"/>
        </w:rPr>
        <w:t xml:space="preserve">: </w:t>
      </w:r>
      <w:r w:rsidR="00ED0FE8" w:rsidRPr="00ED0FE8">
        <w:rPr>
          <w:color w:val="800080" w:themeColor="accent3"/>
        </w:rPr>
        <w:t>Construction Fuel and Electricity Consumption and Indirect Energy by Alternative</w:t>
      </w:r>
      <w:r w:rsidR="00484D07">
        <w:rPr>
          <w:color w:val="800080" w:themeColor="accent3"/>
        </w:rPr>
        <w:t xml:space="preserve"> and Year</w:t>
      </w:r>
      <w:bookmarkEnd w:id="142"/>
    </w:p>
    <w:tbl>
      <w:tblPr>
        <w:tblStyle w:val="TableGrid"/>
        <w:tblW w:w="9621" w:type="dxa"/>
        <w:tblLook w:val="0020" w:firstRow="1" w:lastRow="0" w:firstColumn="0" w:lastColumn="0" w:noHBand="0" w:noVBand="0"/>
        <w:tblCaption w:val="Construction Fuel and Electricity Consumption and Indirect Energy by Alternative"/>
        <w:tblDescription w:val="A table with example results for gasoline, diesel, electricity, and indirect energy consumption for construction of each alternative by year."/>
      </w:tblPr>
      <w:tblGrid>
        <w:gridCol w:w="2875"/>
        <w:gridCol w:w="1800"/>
        <w:gridCol w:w="1620"/>
        <w:gridCol w:w="1530"/>
        <w:gridCol w:w="1796"/>
      </w:tblGrid>
      <w:tr w:rsidR="0030523D" w:rsidRPr="00936B73" w14:paraId="6F831FA1" w14:textId="77777777" w:rsidTr="00A16920">
        <w:trPr>
          <w:cantSplit/>
          <w:trHeight w:val="548"/>
        </w:trPr>
        <w:tc>
          <w:tcPr>
            <w:tcW w:w="2875" w:type="dxa"/>
          </w:tcPr>
          <w:p w14:paraId="2EF4133D" w14:textId="4400ABA1" w:rsidR="0030523D" w:rsidRPr="00936B73" w:rsidRDefault="00660FB2" w:rsidP="00E2161A">
            <w:pPr>
              <w:pStyle w:val="TableHeading"/>
              <w:rPr>
                <w:color w:val="800080" w:themeColor="accent3"/>
              </w:rPr>
            </w:pPr>
            <w:r w:rsidRPr="00660FB2">
              <w:rPr>
                <w:color w:val="800080" w:themeColor="accent3"/>
              </w:rPr>
              <w:t>Alternative and Construction Year</w:t>
            </w:r>
          </w:p>
        </w:tc>
        <w:tc>
          <w:tcPr>
            <w:tcW w:w="1800" w:type="dxa"/>
          </w:tcPr>
          <w:p w14:paraId="6492DB08" w14:textId="77777777" w:rsidR="0030523D" w:rsidRDefault="0030523D" w:rsidP="00E2161A">
            <w:pPr>
              <w:pStyle w:val="TableHeading"/>
              <w:rPr>
                <w:color w:val="800080" w:themeColor="accent3"/>
              </w:rPr>
            </w:pPr>
            <w:r>
              <w:rPr>
                <w:color w:val="800080" w:themeColor="accent3"/>
              </w:rPr>
              <w:t>Gasoline</w:t>
            </w:r>
          </w:p>
          <w:p w14:paraId="70E9B3DF" w14:textId="5E3D5C8D" w:rsidR="0030523D" w:rsidRPr="00936B73" w:rsidRDefault="0030523D" w:rsidP="00E2161A">
            <w:pPr>
              <w:pStyle w:val="TableHeading"/>
              <w:rPr>
                <w:color w:val="800080" w:themeColor="accent3"/>
              </w:rPr>
            </w:pPr>
            <w:r>
              <w:rPr>
                <w:color w:val="800080" w:themeColor="accent3"/>
              </w:rPr>
              <w:t>(gallons)</w:t>
            </w:r>
          </w:p>
        </w:tc>
        <w:tc>
          <w:tcPr>
            <w:tcW w:w="1620" w:type="dxa"/>
          </w:tcPr>
          <w:p w14:paraId="50A6566A" w14:textId="77777777" w:rsidR="0030523D" w:rsidRDefault="0030523D" w:rsidP="00E2161A">
            <w:pPr>
              <w:pStyle w:val="TableHeading"/>
              <w:rPr>
                <w:color w:val="800080" w:themeColor="accent3"/>
              </w:rPr>
            </w:pPr>
            <w:r>
              <w:rPr>
                <w:color w:val="800080" w:themeColor="accent3"/>
              </w:rPr>
              <w:t>Diesel</w:t>
            </w:r>
          </w:p>
          <w:p w14:paraId="184E09A3" w14:textId="73147A2A" w:rsidR="0030523D" w:rsidRPr="00936B73" w:rsidRDefault="0030523D" w:rsidP="00E2161A">
            <w:pPr>
              <w:pStyle w:val="TableHeading"/>
              <w:rPr>
                <w:color w:val="800080" w:themeColor="accent3"/>
              </w:rPr>
            </w:pPr>
            <w:r>
              <w:rPr>
                <w:color w:val="800080" w:themeColor="accent3"/>
              </w:rPr>
              <w:t>(gallons)</w:t>
            </w:r>
          </w:p>
        </w:tc>
        <w:tc>
          <w:tcPr>
            <w:tcW w:w="1530" w:type="dxa"/>
          </w:tcPr>
          <w:p w14:paraId="62653372" w14:textId="3D862C5C" w:rsidR="0030523D" w:rsidRPr="00936B73" w:rsidRDefault="00660FB2" w:rsidP="00E2161A">
            <w:pPr>
              <w:pStyle w:val="TableHeading"/>
              <w:rPr>
                <w:color w:val="800080" w:themeColor="accent3"/>
              </w:rPr>
            </w:pPr>
            <w:r>
              <w:rPr>
                <w:color w:val="800080" w:themeColor="accent3"/>
              </w:rPr>
              <w:t>Electricity (kWh)</w:t>
            </w:r>
          </w:p>
        </w:tc>
        <w:tc>
          <w:tcPr>
            <w:tcW w:w="1796" w:type="dxa"/>
          </w:tcPr>
          <w:p w14:paraId="5F7390B4" w14:textId="2EA12C7E" w:rsidR="0030523D" w:rsidRDefault="00A16920" w:rsidP="00E2161A">
            <w:pPr>
              <w:pStyle w:val="TableHeading"/>
              <w:rPr>
                <w:color w:val="800080" w:themeColor="accent3"/>
              </w:rPr>
            </w:pPr>
            <w:r w:rsidRPr="00A16920">
              <w:rPr>
                <w:color w:val="800080" w:themeColor="accent3"/>
              </w:rPr>
              <w:t>Indirect Energy (million BTU)</w:t>
            </w:r>
          </w:p>
        </w:tc>
      </w:tr>
      <w:tr w:rsidR="0030523D" w:rsidRPr="00936B73" w14:paraId="1E398A98" w14:textId="77777777" w:rsidTr="00A16920">
        <w:trPr>
          <w:cantSplit/>
          <w:trHeight w:val="273"/>
        </w:trPr>
        <w:tc>
          <w:tcPr>
            <w:tcW w:w="2875" w:type="dxa"/>
          </w:tcPr>
          <w:p w14:paraId="0C860029" w14:textId="48DBF618" w:rsidR="0030523D" w:rsidRPr="00936B73" w:rsidRDefault="0030523D" w:rsidP="00E2161A">
            <w:pPr>
              <w:pStyle w:val="TableText"/>
              <w:rPr>
                <w:color w:val="800080" w:themeColor="accent3"/>
              </w:rPr>
            </w:pPr>
            <w:r>
              <w:rPr>
                <w:color w:val="800080" w:themeColor="accent3"/>
              </w:rPr>
              <w:t>202</w:t>
            </w:r>
            <w:r w:rsidR="00660FB2">
              <w:rPr>
                <w:color w:val="800080" w:themeColor="accent3"/>
              </w:rPr>
              <w:t>3</w:t>
            </w:r>
            <w:r>
              <w:rPr>
                <w:color w:val="800080" w:themeColor="accent3"/>
              </w:rPr>
              <w:t xml:space="preserve"> </w:t>
            </w:r>
            <w:r w:rsidR="00660FB2">
              <w:rPr>
                <w:color w:val="800080" w:themeColor="accent3"/>
              </w:rPr>
              <w:t>Alternative 1</w:t>
            </w:r>
          </w:p>
        </w:tc>
        <w:tc>
          <w:tcPr>
            <w:tcW w:w="1800" w:type="dxa"/>
          </w:tcPr>
          <w:p w14:paraId="0BC0CD49" w14:textId="7A710E4E" w:rsidR="0030523D" w:rsidRPr="00936B73" w:rsidRDefault="007C79D3" w:rsidP="00E2161A">
            <w:pPr>
              <w:pStyle w:val="TableText"/>
              <w:rPr>
                <w:color w:val="800080" w:themeColor="accent3"/>
              </w:rPr>
            </w:pPr>
            <w:r>
              <w:rPr>
                <w:color w:val="800080" w:themeColor="accent3"/>
              </w:rPr>
              <w:t>10,977</w:t>
            </w:r>
          </w:p>
        </w:tc>
        <w:tc>
          <w:tcPr>
            <w:tcW w:w="1620" w:type="dxa"/>
          </w:tcPr>
          <w:p w14:paraId="7E901952" w14:textId="470D10CC" w:rsidR="0030523D" w:rsidRPr="00936B73" w:rsidRDefault="007C79D3" w:rsidP="00E2161A">
            <w:pPr>
              <w:pStyle w:val="TableText"/>
              <w:rPr>
                <w:color w:val="800080" w:themeColor="accent3"/>
              </w:rPr>
            </w:pPr>
            <w:r>
              <w:rPr>
                <w:color w:val="800080" w:themeColor="accent3"/>
              </w:rPr>
              <w:t>1,776</w:t>
            </w:r>
          </w:p>
        </w:tc>
        <w:tc>
          <w:tcPr>
            <w:tcW w:w="1530" w:type="dxa"/>
          </w:tcPr>
          <w:p w14:paraId="79285AA4" w14:textId="4E983F44" w:rsidR="0030523D" w:rsidRPr="00936B73" w:rsidRDefault="007C79D3" w:rsidP="00E2161A">
            <w:pPr>
              <w:pStyle w:val="TableText"/>
              <w:rPr>
                <w:color w:val="800080" w:themeColor="accent3"/>
              </w:rPr>
            </w:pPr>
            <w:r>
              <w:rPr>
                <w:color w:val="800080" w:themeColor="accent3"/>
              </w:rPr>
              <w:t>4,000</w:t>
            </w:r>
          </w:p>
        </w:tc>
        <w:tc>
          <w:tcPr>
            <w:tcW w:w="1796" w:type="dxa"/>
          </w:tcPr>
          <w:p w14:paraId="1C2A4F86" w14:textId="060A736C" w:rsidR="0030523D" w:rsidRPr="00936B73" w:rsidRDefault="007C79D3" w:rsidP="00E2161A">
            <w:pPr>
              <w:pStyle w:val="TableText"/>
              <w:rPr>
                <w:color w:val="800080" w:themeColor="accent3"/>
              </w:rPr>
            </w:pPr>
            <w:r>
              <w:rPr>
                <w:color w:val="800080" w:themeColor="accent3"/>
              </w:rPr>
              <w:t>1,735</w:t>
            </w:r>
          </w:p>
        </w:tc>
      </w:tr>
      <w:tr w:rsidR="007C79D3" w:rsidRPr="00936B73" w14:paraId="39FB2EF8" w14:textId="77777777" w:rsidTr="00A16920">
        <w:trPr>
          <w:cantSplit/>
          <w:trHeight w:val="273"/>
        </w:trPr>
        <w:tc>
          <w:tcPr>
            <w:tcW w:w="2875" w:type="dxa"/>
          </w:tcPr>
          <w:p w14:paraId="2086A490" w14:textId="6DE28BAD" w:rsidR="007C79D3" w:rsidRPr="00936B73" w:rsidRDefault="007C79D3" w:rsidP="007C79D3">
            <w:pPr>
              <w:pStyle w:val="TableText"/>
              <w:rPr>
                <w:color w:val="800080" w:themeColor="accent3"/>
              </w:rPr>
            </w:pPr>
            <w:r>
              <w:rPr>
                <w:color w:val="800080" w:themeColor="accent3"/>
              </w:rPr>
              <w:t>2024 Alternative 1</w:t>
            </w:r>
          </w:p>
        </w:tc>
        <w:tc>
          <w:tcPr>
            <w:tcW w:w="1800" w:type="dxa"/>
          </w:tcPr>
          <w:p w14:paraId="6863FCC1" w14:textId="405997D2" w:rsidR="007C79D3" w:rsidRPr="00936B73" w:rsidRDefault="007C79D3" w:rsidP="007C79D3">
            <w:pPr>
              <w:pStyle w:val="TableText"/>
              <w:rPr>
                <w:color w:val="800080" w:themeColor="accent3"/>
              </w:rPr>
            </w:pPr>
            <w:r w:rsidRPr="000445FA">
              <w:rPr>
                <w:color w:val="800080" w:themeColor="accent3"/>
              </w:rPr>
              <w:t>43,090</w:t>
            </w:r>
          </w:p>
        </w:tc>
        <w:tc>
          <w:tcPr>
            <w:tcW w:w="1620" w:type="dxa"/>
          </w:tcPr>
          <w:p w14:paraId="5EE46D26" w14:textId="6201DE78" w:rsidR="007C79D3" w:rsidRPr="00936B73" w:rsidRDefault="007C79D3" w:rsidP="007C79D3">
            <w:pPr>
              <w:pStyle w:val="TableText"/>
              <w:rPr>
                <w:color w:val="800080" w:themeColor="accent3"/>
              </w:rPr>
            </w:pPr>
            <w:r w:rsidRPr="00AC27C3">
              <w:rPr>
                <w:color w:val="800080" w:themeColor="accent3"/>
              </w:rPr>
              <w:t>3,224</w:t>
            </w:r>
          </w:p>
        </w:tc>
        <w:tc>
          <w:tcPr>
            <w:tcW w:w="1530" w:type="dxa"/>
          </w:tcPr>
          <w:p w14:paraId="7C3C405D" w14:textId="02208269" w:rsidR="007C79D3" w:rsidRPr="00936B73" w:rsidRDefault="007C79D3" w:rsidP="007C79D3">
            <w:pPr>
              <w:pStyle w:val="TableText"/>
              <w:rPr>
                <w:color w:val="800080" w:themeColor="accent3"/>
              </w:rPr>
            </w:pPr>
            <w:r>
              <w:rPr>
                <w:color w:val="800080" w:themeColor="accent3"/>
              </w:rPr>
              <w:t>8,000</w:t>
            </w:r>
          </w:p>
        </w:tc>
        <w:tc>
          <w:tcPr>
            <w:tcW w:w="1796" w:type="dxa"/>
          </w:tcPr>
          <w:p w14:paraId="2E7E2FC4" w14:textId="56000F9C" w:rsidR="007C79D3" w:rsidRPr="00936B73" w:rsidRDefault="007C79D3" w:rsidP="007C79D3">
            <w:pPr>
              <w:pStyle w:val="TableText"/>
              <w:rPr>
                <w:color w:val="800080" w:themeColor="accent3"/>
              </w:rPr>
            </w:pPr>
            <w:r w:rsidRPr="00792BE7">
              <w:rPr>
                <w:color w:val="800080" w:themeColor="accent3"/>
              </w:rPr>
              <w:t>6,335</w:t>
            </w:r>
          </w:p>
        </w:tc>
      </w:tr>
      <w:tr w:rsidR="0030523D" w:rsidRPr="00936B73" w14:paraId="40B67998" w14:textId="77777777" w:rsidTr="00A16920">
        <w:trPr>
          <w:cantSplit/>
          <w:trHeight w:val="273"/>
        </w:trPr>
        <w:tc>
          <w:tcPr>
            <w:tcW w:w="2875" w:type="dxa"/>
          </w:tcPr>
          <w:p w14:paraId="7445C5D8" w14:textId="582C6337" w:rsidR="0030523D" w:rsidRPr="00A16920" w:rsidRDefault="00660FB2" w:rsidP="00E2161A">
            <w:pPr>
              <w:pStyle w:val="TableText"/>
              <w:rPr>
                <w:b/>
                <w:bCs/>
                <w:color w:val="800080" w:themeColor="accent3"/>
              </w:rPr>
            </w:pPr>
            <w:r w:rsidRPr="00A16920">
              <w:rPr>
                <w:b/>
                <w:bCs/>
                <w:color w:val="800080" w:themeColor="accent3"/>
              </w:rPr>
              <w:t>Total</w:t>
            </w:r>
            <w:r w:rsidR="0030523D" w:rsidRPr="00A16920">
              <w:rPr>
                <w:b/>
                <w:bCs/>
                <w:color w:val="800080" w:themeColor="accent3"/>
              </w:rPr>
              <w:t xml:space="preserve"> Alternative </w:t>
            </w:r>
            <w:r w:rsidRPr="00A16920">
              <w:rPr>
                <w:b/>
                <w:bCs/>
                <w:color w:val="800080" w:themeColor="accent3"/>
              </w:rPr>
              <w:t>1</w:t>
            </w:r>
          </w:p>
        </w:tc>
        <w:tc>
          <w:tcPr>
            <w:tcW w:w="1800" w:type="dxa"/>
          </w:tcPr>
          <w:p w14:paraId="33C3E2EF" w14:textId="3DE6D4CA" w:rsidR="0030523D" w:rsidRPr="00A16920" w:rsidRDefault="007C79D3" w:rsidP="00E2161A">
            <w:pPr>
              <w:pStyle w:val="TableText"/>
              <w:rPr>
                <w:b/>
                <w:bCs/>
                <w:color w:val="800080" w:themeColor="accent3"/>
              </w:rPr>
            </w:pPr>
            <w:r>
              <w:rPr>
                <w:b/>
                <w:bCs/>
                <w:color w:val="800080" w:themeColor="accent3"/>
              </w:rPr>
              <w:t>54,607</w:t>
            </w:r>
          </w:p>
        </w:tc>
        <w:tc>
          <w:tcPr>
            <w:tcW w:w="1620" w:type="dxa"/>
          </w:tcPr>
          <w:p w14:paraId="7CE5C137" w14:textId="5B7E173B" w:rsidR="0030523D" w:rsidRPr="00A16920" w:rsidRDefault="007C79D3" w:rsidP="00E2161A">
            <w:pPr>
              <w:pStyle w:val="TableText"/>
              <w:rPr>
                <w:b/>
                <w:bCs/>
                <w:color w:val="800080" w:themeColor="accent3"/>
              </w:rPr>
            </w:pPr>
            <w:r>
              <w:rPr>
                <w:b/>
                <w:bCs/>
                <w:color w:val="800080" w:themeColor="accent3"/>
              </w:rPr>
              <w:t>4,999</w:t>
            </w:r>
          </w:p>
        </w:tc>
        <w:tc>
          <w:tcPr>
            <w:tcW w:w="1530" w:type="dxa"/>
          </w:tcPr>
          <w:p w14:paraId="15324562" w14:textId="0F4E2813" w:rsidR="0030523D" w:rsidRPr="00A16920" w:rsidRDefault="007C79D3" w:rsidP="00E2161A">
            <w:pPr>
              <w:pStyle w:val="TableText"/>
              <w:rPr>
                <w:b/>
                <w:bCs/>
                <w:color w:val="800080" w:themeColor="accent3"/>
              </w:rPr>
            </w:pPr>
            <w:r>
              <w:rPr>
                <w:b/>
                <w:bCs/>
                <w:color w:val="800080" w:themeColor="accent3"/>
              </w:rPr>
              <w:t>12,000</w:t>
            </w:r>
          </w:p>
        </w:tc>
        <w:tc>
          <w:tcPr>
            <w:tcW w:w="1796" w:type="dxa"/>
          </w:tcPr>
          <w:p w14:paraId="449C7161" w14:textId="44641B1F" w:rsidR="0030523D" w:rsidRPr="00A16920" w:rsidRDefault="007C79D3" w:rsidP="00E2161A">
            <w:pPr>
              <w:pStyle w:val="TableText"/>
              <w:rPr>
                <w:b/>
                <w:bCs/>
                <w:color w:val="800080" w:themeColor="accent3"/>
              </w:rPr>
            </w:pPr>
            <w:r>
              <w:rPr>
                <w:b/>
                <w:bCs/>
                <w:color w:val="800080" w:themeColor="accent3"/>
              </w:rPr>
              <w:t>8,070</w:t>
            </w:r>
          </w:p>
        </w:tc>
      </w:tr>
      <w:tr w:rsidR="007C79D3" w:rsidRPr="00936B73" w14:paraId="19F0D69D" w14:textId="77777777" w:rsidTr="00A16920">
        <w:trPr>
          <w:cantSplit/>
          <w:trHeight w:val="273"/>
        </w:trPr>
        <w:tc>
          <w:tcPr>
            <w:tcW w:w="2875" w:type="dxa"/>
          </w:tcPr>
          <w:p w14:paraId="70445447" w14:textId="7D790749" w:rsidR="007C79D3" w:rsidRPr="00936B73" w:rsidRDefault="007C79D3" w:rsidP="007C79D3">
            <w:pPr>
              <w:pStyle w:val="TableText"/>
              <w:rPr>
                <w:color w:val="800080" w:themeColor="accent3"/>
              </w:rPr>
            </w:pPr>
            <w:r>
              <w:rPr>
                <w:color w:val="800080" w:themeColor="accent3"/>
              </w:rPr>
              <w:t>2023 Alternative 2</w:t>
            </w:r>
          </w:p>
        </w:tc>
        <w:tc>
          <w:tcPr>
            <w:tcW w:w="1800" w:type="dxa"/>
          </w:tcPr>
          <w:p w14:paraId="08622168" w14:textId="313F8BA1" w:rsidR="007C79D3" w:rsidRPr="00936B73" w:rsidRDefault="007C79D3" w:rsidP="007C79D3">
            <w:pPr>
              <w:pStyle w:val="TableText"/>
              <w:rPr>
                <w:color w:val="800080" w:themeColor="accent3"/>
              </w:rPr>
            </w:pPr>
            <w:r>
              <w:rPr>
                <w:color w:val="800080" w:themeColor="accent3"/>
              </w:rPr>
              <w:t>10,977</w:t>
            </w:r>
          </w:p>
        </w:tc>
        <w:tc>
          <w:tcPr>
            <w:tcW w:w="1620" w:type="dxa"/>
          </w:tcPr>
          <w:p w14:paraId="37A83EC4" w14:textId="0D8DF1EA" w:rsidR="007C79D3" w:rsidRPr="00936B73" w:rsidRDefault="007C79D3" w:rsidP="007C79D3">
            <w:pPr>
              <w:pStyle w:val="TableText"/>
              <w:rPr>
                <w:color w:val="800080" w:themeColor="accent3"/>
              </w:rPr>
            </w:pPr>
            <w:r>
              <w:rPr>
                <w:color w:val="800080" w:themeColor="accent3"/>
              </w:rPr>
              <w:t>1,775</w:t>
            </w:r>
          </w:p>
        </w:tc>
        <w:tc>
          <w:tcPr>
            <w:tcW w:w="1530" w:type="dxa"/>
          </w:tcPr>
          <w:p w14:paraId="4C7CB095" w14:textId="3CB1AE00" w:rsidR="007C79D3" w:rsidRPr="00936B73" w:rsidRDefault="007C79D3" w:rsidP="007C79D3">
            <w:pPr>
              <w:pStyle w:val="TableText"/>
              <w:rPr>
                <w:color w:val="800080" w:themeColor="accent3"/>
              </w:rPr>
            </w:pPr>
            <w:r>
              <w:rPr>
                <w:color w:val="800080" w:themeColor="accent3"/>
              </w:rPr>
              <w:t>4,000</w:t>
            </w:r>
          </w:p>
        </w:tc>
        <w:tc>
          <w:tcPr>
            <w:tcW w:w="1796" w:type="dxa"/>
          </w:tcPr>
          <w:p w14:paraId="668F13A0" w14:textId="076D0E0B" w:rsidR="007C79D3" w:rsidRPr="00936B73" w:rsidRDefault="007C79D3" w:rsidP="007C79D3">
            <w:pPr>
              <w:pStyle w:val="TableText"/>
              <w:rPr>
                <w:color w:val="800080" w:themeColor="accent3"/>
              </w:rPr>
            </w:pPr>
            <w:r>
              <w:rPr>
                <w:color w:val="800080" w:themeColor="accent3"/>
              </w:rPr>
              <w:t>1,735</w:t>
            </w:r>
          </w:p>
        </w:tc>
      </w:tr>
      <w:tr w:rsidR="007C79D3" w:rsidRPr="00936B73" w14:paraId="2B79F35D" w14:textId="77777777" w:rsidTr="00A16920">
        <w:trPr>
          <w:cantSplit/>
          <w:trHeight w:val="258"/>
        </w:trPr>
        <w:tc>
          <w:tcPr>
            <w:tcW w:w="2875" w:type="dxa"/>
          </w:tcPr>
          <w:p w14:paraId="476617AE" w14:textId="16088CD7" w:rsidR="007C79D3" w:rsidRPr="00936B73" w:rsidRDefault="007C79D3" w:rsidP="007C79D3">
            <w:pPr>
              <w:pStyle w:val="TableText"/>
              <w:rPr>
                <w:color w:val="800080" w:themeColor="accent3"/>
              </w:rPr>
            </w:pPr>
            <w:r>
              <w:rPr>
                <w:color w:val="800080" w:themeColor="accent3"/>
              </w:rPr>
              <w:t>2024 Alternative 2</w:t>
            </w:r>
          </w:p>
        </w:tc>
        <w:tc>
          <w:tcPr>
            <w:tcW w:w="1800" w:type="dxa"/>
          </w:tcPr>
          <w:p w14:paraId="32A75577" w14:textId="283FDCB9" w:rsidR="007C79D3" w:rsidRPr="00936B73" w:rsidRDefault="007C79D3" w:rsidP="007C79D3">
            <w:pPr>
              <w:pStyle w:val="TableText"/>
              <w:rPr>
                <w:color w:val="800080" w:themeColor="accent3"/>
              </w:rPr>
            </w:pPr>
            <w:r w:rsidRPr="00007F98">
              <w:rPr>
                <w:color w:val="800080" w:themeColor="accent3"/>
              </w:rPr>
              <w:t>35,565</w:t>
            </w:r>
          </w:p>
        </w:tc>
        <w:tc>
          <w:tcPr>
            <w:tcW w:w="1620" w:type="dxa"/>
          </w:tcPr>
          <w:p w14:paraId="5886753E" w14:textId="5FF49AA3" w:rsidR="007C79D3" w:rsidRPr="00936B73" w:rsidRDefault="007C79D3" w:rsidP="007C79D3">
            <w:pPr>
              <w:pStyle w:val="TableText"/>
              <w:rPr>
                <w:color w:val="800080" w:themeColor="accent3"/>
              </w:rPr>
            </w:pPr>
            <w:r w:rsidRPr="00B53AA0">
              <w:rPr>
                <w:color w:val="800080" w:themeColor="accent3"/>
              </w:rPr>
              <w:t>3,224</w:t>
            </w:r>
          </w:p>
        </w:tc>
        <w:tc>
          <w:tcPr>
            <w:tcW w:w="1530" w:type="dxa"/>
          </w:tcPr>
          <w:p w14:paraId="394CC283" w14:textId="545E0EB0" w:rsidR="007C79D3" w:rsidRPr="00936B73" w:rsidRDefault="007C79D3" w:rsidP="007C79D3">
            <w:pPr>
              <w:pStyle w:val="TableText"/>
              <w:rPr>
                <w:color w:val="800080" w:themeColor="accent3"/>
              </w:rPr>
            </w:pPr>
            <w:r>
              <w:rPr>
                <w:color w:val="800080" w:themeColor="accent3"/>
              </w:rPr>
              <w:t>10,000</w:t>
            </w:r>
          </w:p>
        </w:tc>
        <w:tc>
          <w:tcPr>
            <w:tcW w:w="1796" w:type="dxa"/>
          </w:tcPr>
          <w:p w14:paraId="50CEE026" w14:textId="69F5A3A3" w:rsidR="007C79D3" w:rsidRPr="00936B73" w:rsidRDefault="007C79D3" w:rsidP="007C79D3">
            <w:pPr>
              <w:pStyle w:val="TableText"/>
              <w:rPr>
                <w:color w:val="800080" w:themeColor="accent3"/>
              </w:rPr>
            </w:pPr>
            <w:r w:rsidRPr="00E45C2E">
              <w:rPr>
                <w:color w:val="800080" w:themeColor="accent3"/>
              </w:rPr>
              <w:t>5,308</w:t>
            </w:r>
          </w:p>
        </w:tc>
      </w:tr>
      <w:tr w:rsidR="00660FB2" w:rsidRPr="00936B73" w14:paraId="54F6B7E9" w14:textId="77777777" w:rsidTr="00A16920">
        <w:trPr>
          <w:cantSplit/>
          <w:trHeight w:val="258"/>
        </w:trPr>
        <w:tc>
          <w:tcPr>
            <w:tcW w:w="2875" w:type="dxa"/>
          </w:tcPr>
          <w:p w14:paraId="115AC844" w14:textId="3490DA80" w:rsidR="00660FB2" w:rsidRPr="00A16920" w:rsidRDefault="00660FB2" w:rsidP="00660FB2">
            <w:pPr>
              <w:pStyle w:val="TableText"/>
              <w:rPr>
                <w:b/>
                <w:bCs/>
                <w:color w:val="800080" w:themeColor="accent3"/>
              </w:rPr>
            </w:pPr>
            <w:r w:rsidRPr="00A16920">
              <w:rPr>
                <w:b/>
                <w:bCs/>
                <w:color w:val="800080" w:themeColor="accent3"/>
              </w:rPr>
              <w:t>Total Alternative 2</w:t>
            </w:r>
          </w:p>
        </w:tc>
        <w:tc>
          <w:tcPr>
            <w:tcW w:w="1800" w:type="dxa"/>
          </w:tcPr>
          <w:p w14:paraId="62C188A8" w14:textId="406EFE88" w:rsidR="00660FB2" w:rsidRPr="00A16920" w:rsidRDefault="007C79D3" w:rsidP="00660FB2">
            <w:pPr>
              <w:pStyle w:val="TableText"/>
              <w:rPr>
                <w:b/>
                <w:bCs/>
                <w:color w:val="800080" w:themeColor="accent3"/>
              </w:rPr>
            </w:pPr>
            <w:r>
              <w:rPr>
                <w:b/>
                <w:bCs/>
                <w:color w:val="800080" w:themeColor="accent3"/>
              </w:rPr>
              <w:t>46,542</w:t>
            </w:r>
          </w:p>
        </w:tc>
        <w:tc>
          <w:tcPr>
            <w:tcW w:w="1620" w:type="dxa"/>
          </w:tcPr>
          <w:p w14:paraId="35A47876" w14:textId="7D2773D4" w:rsidR="00660FB2" w:rsidRPr="00A16920" w:rsidRDefault="007C79D3" w:rsidP="00660FB2">
            <w:pPr>
              <w:pStyle w:val="TableText"/>
              <w:rPr>
                <w:b/>
                <w:bCs/>
                <w:color w:val="800080" w:themeColor="accent3"/>
              </w:rPr>
            </w:pPr>
            <w:r>
              <w:rPr>
                <w:b/>
                <w:bCs/>
                <w:color w:val="800080" w:themeColor="accent3"/>
              </w:rPr>
              <w:t>4,999</w:t>
            </w:r>
          </w:p>
        </w:tc>
        <w:tc>
          <w:tcPr>
            <w:tcW w:w="1530" w:type="dxa"/>
          </w:tcPr>
          <w:p w14:paraId="01AE2222" w14:textId="6D9396B5" w:rsidR="00660FB2" w:rsidRPr="00A16920" w:rsidRDefault="007C79D3" w:rsidP="00660FB2">
            <w:pPr>
              <w:pStyle w:val="TableText"/>
              <w:rPr>
                <w:b/>
                <w:bCs/>
                <w:color w:val="800080" w:themeColor="accent3"/>
              </w:rPr>
            </w:pPr>
            <w:r>
              <w:rPr>
                <w:b/>
                <w:bCs/>
                <w:color w:val="800080" w:themeColor="accent3"/>
              </w:rPr>
              <w:t>14,000</w:t>
            </w:r>
          </w:p>
        </w:tc>
        <w:tc>
          <w:tcPr>
            <w:tcW w:w="1796" w:type="dxa"/>
          </w:tcPr>
          <w:p w14:paraId="10602EF9" w14:textId="52097FFC" w:rsidR="00660FB2" w:rsidRPr="00A16920" w:rsidRDefault="007C79D3" w:rsidP="00660FB2">
            <w:pPr>
              <w:pStyle w:val="TableText"/>
              <w:rPr>
                <w:b/>
                <w:bCs/>
                <w:color w:val="800080" w:themeColor="accent3"/>
              </w:rPr>
            </w:pPr>
            <w:r>
              <w:rPr>
                <w:b/>
                <w:bCs/>
                <w:color w:val="800080" w:themeColor="accent3"/>
              </w:rPr>
              <w:t>7,043</w:t>
            </w:r>
          </w:p>
        </w:tc>
      </w:tr>
    </w:tbl>
    <w:p w14:paraId="0079FD4C" w14:textId="51D7A352" w:rsidR="0030523D" w:rsidRDefault="0030523D" w:rsidP="0030523D">
      <w:pPr>
        <w:pStyle w:val="TableText"/>
        <w:rPr>
          <w:color w:val="800080" w:themeColor="accent3"/>
        </w:rPr>
      </w:pPr>
      <w:r w:rsidRPr="00936B73">
        <w:rPr>
          <w:color w:val="800080" w:themeColor="accent3"/>
        </w:rPr>
        <w:t xml:space="preserve">Source: </w:t>
      </w:r>
      <w:r w:rsidR="00C259F4" w:rsidRPr="00C259F4">
        <w:rPr>
          <w:color w:val="800080" w:themeColor="accent3"/>
        </w:rPr>
        <w:t xml:space="preserve">CalEEMod2022, </w:t>
      </w:r>
      <w:r w:rsidR="00412315">
        <w:rPr>
          <w:color w:val="800080" w:themeColor="accent3"/>
        </w:rPr>
        <w:t>EIA</w:t>
      </w:r>
      <w:r w:rsidR="00C259F4" w:rsidRPr="00C259F4">
        <w:rPr>
          <w:color w:val="800080" w:themeColor="accent3"/>
        </w:rPr>
        <w:t xml:space="preserve"> 2023</w:t>
      </w:r>
      <w:r w:rsidR="0019019B">
        <w:rPr>
          <w:color w:val="800080" w:themeColor="accent3"/>
        </w:rPr>
        <w:t>c</w:t>
      </w:r>
    </w:p>
    <w:p w14:paraId="62F6FD29" w14:textId="46FB168F" w:rsidR="0030523D" w:rsidRPr="00936B73" w:rsidRDefault="0030523D" w:rsidP="0030523D">
      <w:pPr>
        <w:pStyle w:val="TableText"/>
        <w:rPr>
          <w:color w:val="800080" w:themeColor="accent3"/>
        </w:rPr>
      </w:pPr>
      <w:r w:rsidRPr="007D03FB">
        <w:rPr>
          <w:color w:val="800080" w:themeColor="accent3"/>
        </w:rPr>
        <w:t xml:space="preserve">Note: </w:t>
      </w:r>
      <w:r w:rsidR="00470FA2" w:rsidRPr="00470FA2">
        <w:rPr>
          <w:color w:val="800080" w:themeColor="accent3"/>
        </w:rPr>
        <w:t>Refer to Appendix C for the CalEEMod output</w:t>
      </w:r>
      <w:r>
        <w:rPr>
          <w:color w:val="800080" w:themeColor="accent3"/>
        </w:rPr>
        <w:t>.</w:t>
      </w:r>
    </w:p>
    <w:p w14:paraId="48249C5F" w14:textId="77777777" w:rsidR="00C45818" w:rsidRPr="0008153B" w:rsidRDefault="00C45818" w:rsidP="0079514C">
      <w:pPr>
        <w:spacing w:after="0"/>
        <w:rPr>
          <w:rFonts w:cs="Arial"/>
          <w:color w:val="800080" w:themeColor="accent3"/>
          <w:sz w:val="20"/>
        </w:rPr>
      </w:pPr>
    </w:p>
    <w:p w14:paraId="7270843F" w14:textId="33987598" w:rsidR="0030523D" w:rsidRDefault="00C51274" w:rsidP="00C51274">
      <w:pPr>
        <w:rPr>
          <w:color w:val="800080" w:themeColor="accent3"/>
        </w:rPr>
      </w:pPr>
      <w:bookmarkStart w:id="143" w:name="_Hlk149027946"/>
      <w:r w:rsidRPr="00C51274">
        <w:rPr>
          <w:color w:val="800080" w:themeColor="accent3"/>
        </w:rPr>
        <w:t xml:space="preserve">The indirect energy consumed during construction of either build alternative would be temporary </w:t>
      </w:r>
      <w:proofErr w:type="gramStart"/>
      <w:r w:rsidRPr="00C51274">
        <w:rPr>
          <w:color w:val="800080" w:themeColor="accent3"/>
        </w:rPr>
        <w:t>and</w:t>
      </w:r>
      <w:proofErr w:type="gramEnd"/>
      <w:r w:rsidRPr="00C51274">
        <w:rPr>
          <w:color w:val="800080" w:themeColor="accent3"/>
        </w:rPr>
        <w:t xml:space="preserve"> would not result in a permanent increase in statewide annual energy consumption</w:t>
      </w:r>
      <w:r w:rsidR="00F94684" w:rsidRPr="00C51274">
        <w:rPr>
          <w:color w:val="800080" w:themeColor="accent3"/>
        </w:rPr>
        <w:t xml:space="preserve">.  </w:t>
      </w:r>
      <w:r w:rsidRPr="00C51274">
        <w:rPr>
          <w:color w:val="800080" w:themeColor="accent3"/>
        </w:rPr>
        <w:t>Moreover, construction design features would help conserve energy</w:t>
      </w:r>
      <w:bookmarkEnd w:id="143"/>
      <w:r w:rsidR="00851223" w:rsidRPr="00C51274">
        <w:rPr>
          <w:color w:val="800080" w:themeColor="accent3"/>
        </w:rPr>
        <w:t xml:space="preserve">.  </w:t>
      </w:r>
      <w:r w:rsidRPr="00C51274">
        <w:rPr>
          <w:color w:val="800080" w:themeColor="accent3"/>
        </w:rPr>
        <w:t xml:space="preserve">A </w:t>
      </w:r>
      <w:bookmarkStart w:id="144" w:name="_Hlk149028153"/>
      <w:proofErr w:type="spellStart"/>
      <w:r w:rsidRPr="00C51274">
        <w:rPr>
          <w:color w:val="800080" w:themeColor="accent3"/>
        </w:rPr>
        <w:t>TMP</w:t>
      </w:r>
      <w:proofErr w:type="spellEnd"/>
      <w:r w:rsidRPr="00C51274">
        <w:rPr>
          <w:color w:val="800080" w:themeColor="accent3"/>
        </w:rPr>
        <w:t xml:space="preserve"> would be developed </w:t>
      </w:r>
      <w:bookmarkEnd w:id="144"/>
      <w:r w:rsidRPr="00C51274">
        <w:rPr>
          <w:color w:val="800080" w:themeColor="accent3"/>
        </w:rPr>
        <w:t xml:space="preserve">and implemented in accordance with the </w:t>
      </w:r>
      <w:r w:rsidR="005B50EE">
        <w:rPr>
          <w:color w:val="800080" w:themeColor="accent3"/>
        </w:rPr>
        <w:t>2022</w:t>
      </w:r>
      <w:r w:rsidR="005B50EE" w:rsidRPr="00C51274">
        <w:rPr>
          <w:color w:val="800080" w:themeColor="accent3"/>
        </w:rPr>
        <w:t xml:space="preserve"> </w:t>
      </w:r>
      <w:r w:rsidRPr="00C51274">
        <w:rPr>
          <w:color w:val="800080" w:themeColor="accent3"/>
        </w:rPr>
        <w:t xml:space="preserve">Caltrans </w:t>
      </w:r>
      <w:r w:rsidRPr="00C51274">
        <w:rPr>
          <w:i/>
          <w:iCs/>
          <w:color w:val="800080" w:themeColor="accent3"/>
        </w:rPr>
        <w:t>Standard Specifications</w:t>
      </w:r>
      <w:r w:rsidRPr="00C51274">
        <w:rPr>
          <w:color w:val="800080" w:themeColor="accent3"/>
        </w:rPr>
        <w:t xml:space="preserve"> and must comply with the </w:t>
      </w:r>
      <w:r w:rsidRPr="00C51274">
        <w:rPr>
          <w:i/>
          <w:iCs/>
          <w:color w:val="800080" w:themeColor="accent3"/>
        </w:rPr>
        <w:t>California Manual on Uniform Traffic Control Devices</w:t>
      </w:r>
      <w:r w:rsidRPr="00C51274">
        <w:rPr>
          <w:color w:val="800080" w:themeColor="accent3"/>
        </w:rPr>
        <w:t xml:space="preserve">, Part 6, </w:t>
      </w:r>
      <w:r w:rsidRPr="00C51274">
        <w:rPr>
          <w:i/>
          <w:iCs/>
          <w:color w:val="800080" w:themeColor="accent3"/>
        </w:rPr>
        <w:t xml:space="preserve">Temporary Traffic </w:t>
      </w:r>
      <w:r w:rsidRPr="00C51274">
        <w:rPr>
          <w:color w:val="800080" w:themeColor="accent3"/>
        </w:rPr>
        <w:t>Control</w:t>
      </w:r>
      <w:r w:rsidR="00851223" w:rsidRPr="00C51274">
        <w:rPr>
          <w:color w:val="800080" w:themeColor="accent3"/>
        </w:rPr>
        <w:t xml:space="preserve">.  </w:t>
      </w:r>
      <w:r w:rsidRPr="00C51274">
        <w:rPr>
          <w:color w:val="800080" w:themeColor="accent3"/>
        </w:rPr>
        <w:t xml:space="preserve">An effective </w:t>
      </w:r>
      <w:proofErr w:type="spellStart"/>
      <w:r w:rsidRPr="00C51274">
        <w:rPr>
          <w:color w:val="800080" w:themeColor="accent3"/>
        </w:rPr>
        <w:t>TMP</w:t>
      </w:r>
      <w:proofErr w:type="spellEnd"/>
      <w:r w:rsidRPr="00C51274">
        <w:rPr>
          <w:color w:val="800080" w:themeColor="accent3"/>
        </w:rPr>
        <w:t xml:space="preserve"> would reduce gasoline consumption by limiting traffic congestion and reducing the length of detours</w:t>
      </w:r>
      <w:r w:rsidR="00851223" w:rsidRPr="00C51274">
        <w:rPr>
          <w:color w:val="800080" w:themeColor="accent3"/>
        </w:rPr>
        <w:t xml:space="preserve">.  </w:t>
      </w:r>
      <w:r w:rsidRPr="00C51274">
        <w:rPr>
          <w:color w:val="800080" w:themeColor="accent3"/>
        </w:rPr>
        <w:t xml:space="preserve">In addition, implementation of </w:t>
      </w:r>
      <w:r w:rsidR="00512BAE">
        <w:rPr>
          <w:color w:val="800080" w:themeColor="accent3"/>
        </w:rPr>
        <w:t xml:space="preserve">Standard Specifications 6-1.03, </w:t>
      </w:r>
      <w:r w:rsidR="00512BAE" w:rsidRPr="00411B55">
        <w:rPr>
          <w:color w:val="800080" w:themeColor="accent3"/>
        </w:rPr>
        <w:t>14-9, and 14-10</w:t>
      </w:r>
      <w:r w:rsidR="00512BAE">
        <w:rPr>
          <w:color w:val="800080" w:themeColor="accent3"/>
        </w:rPr>
        <w:t xml:space="preserve"> </w:t>
      </w:r>
      <w:r w:rsidR="0084543F">
        <w:rPr>
          <w:color w:val="800080" w:themeColor="accent3"/>
        </w:rPr>
        <w:t xml:space="preserve">(see Section 1.4.2.4, </w:t>
      </w:r>
      <w:r w:rsidR="0084543F" w:rsidRPr="009D25E5">
        <w:rPr>
          <w:i/>
          <w:iCs/>
          <w:color w:val="800080" w:themeColor="accent3"/>
        </w:rPr>
        <w:t>Energy-Saving Project Design Features</w:t>
      </w:r>
      <w:r w:rsidR="0084543F">
        <w:rPr>
          <w:color w:val="800080" w:themeColor="accent3"/>
        </w:rPr>
        <w:t>)</w:t>
      </w:r>
      <w:r w:rsidRPr="00C51274">
        <w:rPr>
          <w:color w:val="800080" w:themeColor="accent3"/>
        </w:rPr>
        <w:t xml:space="preserve"> will reduce diesel fuel consumption. </w:t>
      </w:r>
      <w:r w:rsidR="00B60588">
        <w:rPr>
          <w:color w:val="800080" w:themeColor="accent3"/>
        </w:rPr>
        <w:t xml:space="preserve"> </w:t>
      </w:r>
      <w:r w:rsidRPr="00C51274">
        <w:rPr>
          <w:color w:val="800080" w:themeColor="accent3"/>
        </w:rPr>
        <w:t>Construction contractors would also be required to comply with state regulations, which require use of renewable diesel fuel beginning in 2024</w:t>
      </w:r>
      <w:r>
        <w:rPr>
          <w:color w:val="800080" w:themeColor="accent3"/>
        </w:rPr>
        <w:t>.</w:t>
      </w:r>
      <w:r w:rsidR="00D87CED">
        <w:rPr>
          <w:color w:val="800080" w:themeColor="accent3"/>
        </w:rPr>
        <w:t xml:space="preserve">  </w:t>
      </w:r>
      <w:r w:rsidR="00207B23" w:rsidRPr="00752C53">
        <w:rPr>
          <w:b/>
          <w:bCs/>
          <w:color w:val="0000FF" w:themeColor="accent1"/>
        </w:rPr>
        <w:t xml:space="preserve">[End </w:t>
      </w:r>
      <w:r w:rsidR="00207B23" w:rsidRPr="00207B23">
        <w:rPr>
          <w:b/>
          <w:bCs/>
          <w:color w:val="0000FF" w:themeColor="accent1"/>
        </w:rPr>
        <w:t>example</w:t>
      </w:r>
      <w:r w:rsidR="00207B23" w:rsidRPr="00752C53">
        <w:rPr>
          <w:b/>
          <w:bCs/>
          <w:color w:val="0000FF" w:themeColor="accent1"/>
        </w:rPr>
        <w:t>]</w:t>
      </w:r>
    </w:p>
    <w:p w14:paraId="3330E86C" w14:textId="77777777" w:rsidR="0099598E"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7386F8" w14:textId="50913571" w:rsidR="007903BB" w:rsidRDefault="007C70A2" w:rsidP="007903BB">
      <w:pPr>
        <w:pStyle w:val="Heading3"/>
      </w:pPr>
      <w:bookmarkStart w:id="145" w:name="_Toc150334797"/>
      <w:bookmarkStart w:id="146" w:name="_Toc157429594"/>
      <w:r>
        <w:lastRenderedPageBreak/>
        <w:t>Maintenance</w:t>
      </w:r>
      <w:bookmarkEnd w:id="145"/>
      <w:bookmarkEnd w:id="146"/>
    </w:p>
    <w:p w14:paraId="4B0DC0C5" w14:textId="77777777" w:rsidR="007903BB" w:rsidRDefault="007903BB" w:rsidP="007903BB">
      <w:pPr>
        <w:pStyle w:val="IntroGuidanceHeading1"/>
      </w:pPr>
      <w:r>
        <w:t>GUIDANCE</w:t>
      </w:r>
    </w:p>
    <w:p w14:paraId="543DAAF7" w14:textId="03202E3A" w:rsidR="00DC6196" w:rsidRDefault="00A63FB4" w:rsidP="007903BB">
      <w:pPr>
        <w:rPr>
          <w:color w:val="0000FF" w:themeColor="accent1"/>
        </w:rPr>
      </w:pPr>
      <w:r w:rsidRPr="00A63FB4">
        <w:rPr>
          <w:color w:val="0000FF" w:themeColor="accent1"/>
        </w:rPr>
        <w:t xml:space="preserve">Generally, indirect energy from maintenance activities can be discussed qualitatively.  </w:t>
      </w:r>
      <w:r w:rsidR="00470885">
        <w:rPr>
          <w:color w:val="0000FF" w:themeColor="accent1"/>
        </w:rPr>
        <w:t>If</w:t>
      </w:r>
      <w:r w:rsidR="00470885" w:rsidRPr="00470885">
        <w:rPr>
          <w:color w:val="0000FF" w:themeColor="accent1"/>
        </w:rPr>
        <w:t xml:space="preserve"> information on project-specific maintenance activities (e.g., types of equipment, operating hours) is available,</w:t>
      </w:r>
      <w:r w:rsidR="009B69F2">
        <w:rPr>
          <w:color w:val="0000FF" w:themeColor="accent1"/>
        </w:rPr>
        <w:t xml:space="preserve"> indirect energy may be quantified. </w:t>
      </w:r>
    </w:p>
    <w:p w14:paraId="17A88796" w14:textId="77777777" w:rsidR="00A1566E" w:rsidRDefault="00A1566E" w:rsidP="00A1566E">
      <w:pPr>
        <w:pStyle w:val="IntroGuidanceHeading1"/>
      </w:pPr>
      <w:r>
        <w:t>GUIDANCE FOR QUALITATIVE ANALYSIS</w:t>
      </w:r>
    </w:p>
    <w:p w14:paraId="69A915E3" w14:textId="7172FCC9" w:rsidR="007903BB" w:rsidRDefault="00A63FB4" w:rsidP="007903BB">
      <w:pPr>
        <w:rPr>
          <w:color w:val="0000FF" w:themeColor="accent1"/>
        </w:rPr>
      </w:pPr>
      <w:r w:rsidRPr="00A63FB4">
        <w:rPr>
          <w:color w:val="0000FF" w:themeColor="accent1"/>
        </w:rPr>
        <w:t>Describe the types of equipment and vehicles that would be used for maintenance under existing conditions and the build and no-build alternatives</w:t>
      </w:r>
      <w:r w:rsidR="00851223" w:rsidRPr="00A63FB4">
        <w:rPr>
          <w:color w:val="0000FF" w:themeColor="accent1"/>
        </w:rPr>
        <w:t xml:space="preserve">.  </w:t>
      </w:r>
      <w:r w:rsidRPr="00A63FB4">
        <w:rPr>
          <w:color w:val="0000FF" w:themeColor="accent1"/>
        </w:rPr>
        <w:t>Discuss project elements that would reduce maintenance fuel consumption and associated indirect energy</w:t>
      </w:r>
      <w:r w:rsidR="00851223" w:rsidRPr="00A63FB4">
        <w:rPr>
          <w:color w:val="0000FF" w:themeColor="accent1"/>
        </w:rPr>
        <w:t xml:space="preserve">.  </w:t>
      </w:r>
      <w:r w:rsidRPr="00A63FB4">
        <w:rPr>
          <w:color w:val="0000FF" w:themeColor="accent1"/>
        </w:rPr>
        <w:t>Consider the impact of future state regulations</w:t>
      </w:r>
      <w:r w:rsidR="007903BB" w:rsidRPr="00942B43">
        <w:rPr>
          <w:color w:val="0000FF" w:themeColor="accent1"/>
        </w:rPr>
        <w:t xml:space="preserve">. </w:t>
      </w:r>
    </w:p>
    <w:p w14:paraId="3926BBD3" w14:textId="77777777" w:rsidR="00F56C3C" w:rsidRDefault="00F56C3C" w:rsidP="00F56C3C">
      <w:pPr>
        <w:rPr>
          <w:color w:val="800080" w:themeColor="accent3"/>
        </w:rPr>
      </w:pPr>
      <w:r>
        <w:rPr>
          <w:color w:val="0000FF" w:themeColor="accent1"/>
        </w:rPr>
        <w:t>The following is an example analysis.</w:t>
      </w:r>
      <w:r w:rsidRPr="006B3F76" w:rsidDel="007C79D3">
        <w:rPr>
          <w:color w:val="800080" w:themeColor="accent3"/>
        </w:rPr>
        <w:t xml:space="preserve"> </w:t>
      </w:r>
    </w:p>
    <w:p w14:paraId="7A0D7492" w14:textId="52D45F73" w:rsidR="00F72CE0" w:rsidRPr="00F72CE0" w:rsidRDefault="00F72CE0" w:rsidP="00F72CE0">
      <w:pPr>
        <w:rPr>
          <w:color w:val="800080" w:themeColor="accent3"/>
        </w:rPr>
      </w:pPr>
      <w:r w:rsidRPr="00F72CE0">
        <w:rPr>
          <w:color w:val="800080" w:themeColor="accent3"/>
        </w:rPr>
        <w:t>Long-term maintenance of the various roadways within the project footprint would occur under either build alternative and the No-Build Alternative</w:t>
      </w:r>
      <w:r w:rsidR="00851223" w:rsidRPr="00F72CE0">
        <w:rPr>
          <w:color w:val="800080" w:themeColor="accent3"/>
        </w:rPr>
        <w:t xml:space="preserve">.  </w:t>
      </w:r>
      <w:r w:rsidRPr="00F72CE0">
        <w:rPr>
          <w:color w:val="800080" w:themeColor="accent3"/>
        </w:rPr>
        <w:t xml:space="preserve">Indirect energy would be consumed by equipment and vehicles required for </w:t>
      </w:r>
      <w:r w:rsidR="00DE7B33">
        <w:rPr>
          <w:color w:val="800080" w:themeColor="accent3"/>
        </w:rPr>
        <w:t>preventive and corrective maintenance</w:t>
      </w:r>
      <w:r w:rsidR="00851223" w:rsidRPr="00F72CE0">
        <w:rPr>
          <w:color w:val="800080" w:themeColor="accent3"/>
        </w:rPr>
        <w:t xml:space="preserve">.  </w:t>
      </w:r>
      <w:r w:rsidRPr="00F72CE0">
        <w:rPr>
          <w:color w:val="800080" w:themeColor="accent3"/>
        </w:rPr>
        <w:t>These activities would require gasoline and diesel equipment, such as trimmers and pavers</w:t>
      </w:r>
      <w:r w:rsidR="00851223" w:rsidRPr="00F72CE0">
        <w:rPr>
          <w:color w:val="800080" w:themeColor="accent3"/>
        </w:rPr>
        <w:t xml:space="preserve">.  </w:t>
      </w:r>
      <w:r w:rsidRPr="00F72CE0">
        <w:rPr>
          <w:color w:val="800080" w:themeColor="accent3"/>
        </w:rPr>
        <w:t xml:space="preserve">Light-duty work trucks would also be required for site access. </w:t>
      </w:r>
    </w:p>
    <w:p w14:paraId="237A0C24" w14:textId="240B494A" w:rsidR="007F3508" w:rsidRDefault="00F72CE0" w:rsidP="00F72CE0">
      <w:pPr>
        <w:rPr>
          <w:color w:val="800080" w:themeColor="accent3"/>
        </w:rPr>
      </w:pPr>
      <w:r w:rsidRPr="00F72CE0">
        <w:rPr>
          <w:color w:val="800080" w:themeColor="accent3"/>
        </w:rPr>
        <w:t>Regular maintenance of the I-400/Roadway A interchange occur</w:t>
      </w:r>
      <w:r w:rsidR="0082331A">
        <w:rPr>
          <w:color w:val="800080" w:themeColor="accent3"/>
        </w:rPr>
        <w:t>s</w:t>
      </w:r>
      <w:r w:rsidRPr="00F72CE0">
        <w:rPr>
          <w:color w:val="800080" w:themeColor="accent3"/>
        </w:rPr>
        <w:t xml:space="preserve"> under existing conditions and will continue under the No-Build Alternative</w:t>
      </w:r>
      <w:r w:rsidR="00851223" w:rsidRPr="00F72CE0">
        <w:rPr>
          <w:color w:val="800080" w:themeColor="accent3"/>
        </w:rPr>
        <w:t>.</w:t>
      </w:r>
      <w:r w:rsidR="007F3508">
        <w:rPr>
          <w:color w:val="800080" w:themeColor="accent3"/>
        </w:rPr>
        <w:t xml:space="preserve"> </w:t>
      </w:r>
      <w:r w:rsidR="00476D6E">
        <w:rPr>
          <w:color w:val="800080" w:themeColor="accent3"/>
        </w:rPr>
        <w:t xml:space="preserve"> However, b</w:t>
      </w:r>
      <w:r w:rsidR="007F3508">
        <w:rPr>
          <w:color w:val="800080" w:themeColor="accent3"/>
        </w:rPr>
        <w:t xml:space="preserve">ecause the </w:t>
      </w:r>
      <w:r w:rsidR="00476D6E">
        <w:rPr>
          <w:color w:val="800080" w:themeColor="accent3"/>
        </w:rPr>
        <w:t xml:space="preserve">interchange would not be improved by the project, the frequency of required maintenance would likely increase </w:t>
      </w:r>
      <w:r w:rsidR="00476D6E" w:rsidRPr="00F72CE0">
        <w:rPr>
          <w:color w:val="800080" w:themeColor="accent3"/>
        </w:rPr>
        <w:t>under the No-Build Alternative</w:t>
      </w:r>
      <w:r w:rsidR="00476D6E">
        <w:rPr>
          <w:color w:val="800080" w:themeColor="accent3"/>
        </w:rPr>
        <w:t xml:space="preserve">, </w:t>
      </w:r>
      <w:r w:rsidR="009D56C8">
        <w:rPr>
          <w:color w:val="800080" w:themeColor="accent3"/>
        </w:rPr>
        <w:t>resulting in</w:t>
      </w:r>
      <w:r w:rsidR="00476D6E">
        <w:rPr>
          <w:color w:val="800080" w:themeColor="accent3"/>
        </w:rPr>
        <w:t xml:space="preserve"> additional energy consumption.  N</w:t>
      </w:r>
      <w:r w:rsidR="00476D6E" w:rsidRPr="00F72CE0">
        <w:rPr>
          <w:color w:val="800080" w:themeColor="accent3"/>
        </w:rPr>
        <w:t xml:space="preserve">ewer and more fuel-efficient equipment and vehicles, including zero-emissions vehicles, </w:t>
      </w:r>
      <w:r w:rsidR="00476D6E" w:rsidRPr="00792CC0">
        <w:rPr>
          <w:color w:val="800080" w:themeColor="accent3"/>
        </w:rPr>
        <w:t>will</w:t>
      </w:r>
      <w:r w:rsidR="00476D6E" w:rsidRPr="00F72CE0">
        <w:rPr>
          <w:color w:val="800080" w:themeColor="accent3"/>
        </w:rPr>
        <w:t xml:space="preserve"> operate in the future</w:t>
      </w:r>
      <w:r w:rsidR="00476D6E">
        <w:rPr>
          <w:color w:val="800080" w:themeColor="accent3"/>
        </w:rPr>
        <w:t xml:space="preserve"> due to </w:t>
      </w:r>
      <w:r w:rsidR="00476D6E" w:rsidRPr="007315DB">
        <w:rPr>
          <w:color w:val="800080" w:themeColor="accent3"/>
        </w:rPr>
        <w:t>energy policies and legislation</w:t>
      </w:r>
      <w:r w:rsidR="00476D6E">
        <w:rPr>
          <w:color w:val="800080" w:themeColor="accent3"/>
        </w:rPr>
        <w:t xml:space="preserve"> (refer to </w:t>
      </w:r>
      <w:r w:rsidR="00476D6E" w:rsidRPr="007315DB">
        <w:rPr>
          <w:color w:val="800080" w:themeColor="accent3"/>
        </w:rPr>
        <w:t xml:space="preserve">Chapter 2, </w:t>
      </w:r>
      <w:r w:rsidR="00476D6E" w:rsidRPr="007315DB">
        <w:rPr>
          <w:i/>
          <w:iCs/>
          <w:color w:val="800080" w:themeColor="accent3"/>
        </w:rPr>
        <w:t>Regulatory Setting</w:t>
      </w:r>
      <w:r w:rsidR="00476D6E">
        <w:rPr>
          <w:color w:val="800080" w:themeColor="accent3"/>
        </w:rPr>
        <w:t xml:space="preserve">).  This more efficient maintenance fleet may reduce or offset additional energy consumption from increased maintenance </w:t>
      </w:r>
      <w:r w:rsidR="003A0C55">
        <w:rPr>
          <w:color w:val="800080" w:themeColor="accent3"/>
        </w:rPr>
        <w:t>activity</w:t>
      </w:r>
      <w:r w:rsidR="002021FC">
        <w:rPr>
          <w:color w:val="800080" w:themeColor="accent3"/>
        </w:rPr>
        <w:t xml:space="preserve"> </w:t>
      </w:r>
      <w:r w:rsidR="002021FC" w:rsidRPr="00F72CE0">
        <w:rPr>
          <w:color w:val="800080" w:themeColor="accent3"/>
        </w:rPr>
        <w:t>under the No-Build Alternative</w:t>
      </w:r>
      <w:r w:rsidR="003A0C55">
        <w:rPr>
          <w:color w:val="800080" w:themeColor="accent3"/>
        </w:rPr>
        <w:t xml:space="preserve">, relative to existing conditions. </w:t>
      </w:r>
      <w:r w:rsidR="00476D6E" w:rsidRPr="00F72CE0">
        <w:rPr>
          <w:color w:val="800080" w:themeColor="accent3"/>
        </w:rPr>
        <w:t xml:space="preserve"> </w:t>
      </w:r>
    </w:p>
    <w:p w14:paraId="08D1F76B" w14:textId="10C6D450" w:rsidR="00F72CE0" w:rsidRDefault="00F72CE0" w:rsidP="00F72CE0">
      <w:pPr>
        <w:rPr>
          <w:b/>
          <w:bCs/>
          <w:color w:val="800080" w:themeColor="accent3"/>
        </w:rPr>
      </w:pPr>
      <w:r w:rsidRPr="00F72CE0">
        <w:rPr>
          <w:color w:val="800080" w:themeColor="accent3"/>
        </w:rPr>
        <w:t xml:space="preserve">The improvements proposed under the </w:t>
      </w:r>
      <w:r w:rsidR="00392968">
        <w:rPr>
          <w:color w:val="800080" w:themeColor="accent3"/>
        </w:rPr>
        <w:t>build alternatives</w:t>
      </w:r>
      <w:r w:rsidR="00392968" w:rsidRPr="00F72CE0">
        <w:rPr>
          <w:color w:val="800080" w:themeColor="accent3"/>
        </w:rPr>
        <w:t xml:space="preserve"> </w:t>
      </w:r>
      <w:r w:rsidRPr="00F72CE0">
        <w:rPr>
          <w:color w:val="800080" w:themeColor="accent3"/>
        </w:rPr>
        <w:t xml:space="preserve">would </w:t>
      </w:r>
      <w:r w:rsidR="00392968">
        <w:rPr>
          <w:color w:val="800080" w:themeColor="accent3"/>
        </w:rPr>
        <w:t>reduce the</w:t>
      </w:r>
      <w:r w:rsidRPr="00F72CE0">
        <w:rPr>
          <w:color w:val="800080" w:themeColor="accent3"/>
        </w:rPr>
        <w:t xml:space="preserve"> frequency of required maintenance</w:t>
      </w:r>
      <w:r w:rsidR="003A0C55">
        <w:rPr>
          <w:color w:val="800080" w:themeColor="accent3"/>
        </w:rPr>
        <w:t>, compared to the No-Build Alternative</w:t>
      </w:r>
      <w:r w:rsidR="00FA7101">
        <w:rPr>
          <w:color w:val="800080" w:themeColor="accent3"/>
        </w:rPr>
        <w:t xml:space="preserve"> and existing conditions</w:t>
      </w:r>
      <w:r w:rsidR="00851223" w:rsidRPr="00F72CE0">
        <w:rPr>
          <w:color w:val="800080" w:themeColor="accent3"/>
        </w:rPr>
        <w:t xml:space="preserve">.  </w:t>
      </w:r>
      <w:r w:rsidRPr="00F72CE0">
        <w:rPr>
          <w:color w:val="800080" w:themeColor="accent3"/>
        </w:rPr>
        <w:t xml:space="preserve">Thus, implementation of either build alternative would </w:t>
      </w:r>
      <w:r w:rsidR="00392968">
        <w:rPr>
          <w:color w:val="800080" w:themeColor="accent3"/>
        </w:rPr>
        <w:t>reduce</w:t>
      </w:r>
      <w:r w:rsidRPr="00F72CE0">
        <w:rPr>
          <w:color w:val="800080" w:themeColor="accent3"/>
        </w:rPr>
        <w:t xml:space="preserve"> indirect maintenance energy compared to the No-Build Alternative</w:t>
      </w:r>
      <w:r w:rsidR="00FA7101">
        <w:rPr>
          <w:color w:val="800080" w:themeColor="accent3"/>
        </w:rPr>
        <w:t xml:space="preserve"> and existing conditions</w:t>
      </w:r>
      <w:r w:rsidR="00851223" w:rsidRPr="00F72CE0">
        <w:rPr>
          <w:color w:val="800080" w:themeColor="accent3"/>
        </w:rPr>
        <w:t xml:space="preserve">.  </w:t>
      </w:r>
      <w:r w:rsidR="00207B23" w:rsidRPr="00752C53">
        <w:rPr>
          <w:b/>
          <w:bCs/>
          <w:color w:val="0000FF" w:themeColor="accent1"/>
        </w:rPr>
        <w:t xml:space="preserve">[End </w:t>
      </w:r>
      <w:r w:rsidR="00207B23" w:rsidRPr="00207B23">
        <w:rPr>
          <w:b/>
          <w:bCs/>
          <w:color w:val="0000FF" w:themeColor="accent1"/>
        </w:rPr>
        <w:t>example</w:t>
      </w:r>
      <w:r w:rsidR="00207B23" w:rsidRPr="00752C53">
        <w:rPr>
          <w:b/>
          <w:bCs/>
          <w:color w:val="0000FF" w:themeColor="accent1"/>
        </w:rPr>
        <w:t>]</w:t>
      </w:r>
    </w:p>
    <w:p w14:paraId="478BC398" w14:textId="57DB7E20" w:rsidR="00AD51C7" w:rsidRPr="00942B43" w:rsidRDefault="00AD51C7" w:rsidP="00F72CE0">
      <w:pPr>
        <w:rPr>
          <w:color w:val="800080" w:themeColor="accent3"/>
        </w:rPr>
      </w:pPr>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B7CF08" w14:textId="77777777" w:rsidR="00AD51C7" w:rsidRDefault="00AD51C7" w:rsidP="00AD51C7">
      <w:pPr>
        <w:pStyle w:val="IntroGuidanceHeading1"/>
      </w:pPr>
      <w:r>
        <w:t>GUIDANCE FOR QUANTITATIVE ANALYSIS</w:t>
      </w:r>
    </w:p>
    <w:p w14:paraId="6CFF8D64" w14:textId="2F2D984A" w:rsidR="00C93CE3" w:rsidRPr="00C93CE3" w:rsidRDefault="002B2DAC" w:rsidP="00C93CE3">
      <w:pPr>
        <w:rPr>
          <w:color w:val="0000FF" w:themeColor="accent1"/>
        </w:rPr>
      </w:pPr>
      <w:r w:rsidRPr="002B2DAC">
        <w:rPr>
          <w:color w:val="0000FF" w:themeColor="accent1"/>
        </w:rPr>
        <w:t xml:space="preserve">If information on project-specific maintenance activities (e.g., types of equipment, operating hours) is available, describe </w:t>
      </w:r>
      <w:r w:rsidR="00C93CE3" w:rsidRPr="00C93CE3">
        <w:rPr>
          <w:color w:val="0000FF" w:themeColor="accent1"/>
        </w:rPr>
        <w:t>the approach used to quantify maintenance fuel consumption and indirect energy</w:t>
      </w:r>
      <w:r w:rsidR="00851223" w:rsidRPr="00C93CE3">
        <w:rPr>
          <w:color w:val="0000FF" w:themeColor="accent1"/>
        </w:rPr>
        <w:t xml:space="preserve">.  </w:t>
      </w:r>
      <w:r w:rsidR="00C93CE3" w:rsidRPr="00C93CE3">
        <w:rPr>
          <w:color w:val="0000FF" w:themeColor="accent1"/>
        </w:rPr>
        <w:t>The basic procedure for quantifying indirect maintenance energy is to model equipment and vehicle CO</w:t>
      </w:r>
      <w:r w:rsidR="00C93CE3" w:rsidRPr="00C93CE3">
        <w:rPr>
          <w:color w:val="0000FF" w:themeColor="accent1"/>
          <w:vertAlign w:val="subscript"/>
        </w:rPr>
        <w:t>2</w:t>
      </w:r>
      <w:r w:rsidR="00C93CE3" w:rsidRPr="00C93CE3">
        <w:rPr>
          <w:color w:val="0000FF" w:themeColor="accent1"/>
        </w:rPr>
        <w:t xml:space="preserve"> emissions in CalEEMod and then to convert CO</w:t>
      </w:r>
      <w:r w:rsidR="00C93CE3" w:rsidRPr="00C93CE3">
        <w:rPr>
          <w:color w:val="0000FF" w:themeColor="accent1"/>
          <w:vertAlign w:val="subscript"/>
        </w:rPr>
        <w:t>2</w:t>
      </w:r>
      <w:r w:rsidR="00C93CE3" w:rsidRPr="00C93CE3">
        <w:rPr>
          <w:color w:val="0000FF" w:themeColor="accent1"/>
        </w:rPr>
        <w:t xml:space="preserve"> emissions to gallons of diesel and gasoline using the U</w:t>
      </w:r>
      <w:r w:rsidR="00D30325">
        <w:rPr>
          <w:color w:val="0000FF" w:themeColor="accent1"/>
        </w:rPr>
        <w:t>.</w:t>
      </w:r>
      <w:r w:rsidR="00C93CE3" w:rsidRPr="00C93CE3">
        <w:rPr>
          <w:color w:val="0000FF" w:themeColor="accent1"/>
        </w:rPr>
        <w:t>S</w:t>
      </w:r>
      <w:r w:rsidR="00D30325">
        <w:rPr>
          <w:color w:val="0000FF" w:themeColor="accent1"/>
        </w:rPr>
        <w:t xml:space="preserve">. </w:t>
      </w:r>
      <w:r w:rsidR="00C93CE3" w:rsidRPr="00C93CE3">
        <w:rPr>
          <w:color w:val="0000FF" w:themeColor="accent1"/>
        </w:rPr>
        <w:t>EPA fuel equivalences summarized above</w:t>
      </w:r>
      <w:r w:rsidR="00851223" w:rsidRPr="00C93CE3">
        <w:rPr>
          <w:color w:val="0000FF" w:themeColor="accent1"/>
        </w:rPr>
        <w:t xml:space="preserve">.  </w:t>
      </w:r>
      <w:r w:rsidR="00C93CE3" w:rsidRPr="00C93CE3">
        <w:rPr>
          <w:color w:val="0000FF" w:themeColor="accent1"/>
        </w:rPr>
        <w:t>CO</w:t>
      </w:r>
      <w:r w:rsidR="00C93CE3" w:rsidRPr="00C93CE3">
        <w:rPr>
          <w:color w:val="0000FF" w:themeColor="accent1"/>
          <w:vertAlign w:val="subscript"/>
        </w:rPr>
        <w:t>2</w:t>
      </w:r>
      <w:r w:rsidR="00C93CE3" w:rsidRPr="00C93CE3">
        <w:rPr>
          <w:color w:val="0000FF" w:themeColor="accent1"/>
        </w:rPr>
        <w:t xml:space="preserve"> emissions may be obtained from the project GHG analysis or AQR. </w:t>
      </w:r>
    </w:p>
    <w:p w14:paraId="22E01C6E" w14:textId="77777777" w:rsidR="00C93CE3" w:rsidRPr="00C93CE3" w:rsidRDefault="00C93CE3" w:rsidP="00C93CE3">
      <w:pPr>
        <w:rPr>
          <w:color w:val="0000FF" w:themeColor="accent1"/>
        </w:rPr>
      </w:pPr>
      <w:r w:rsidRPr="00C93CE3">
        <w:rPr>
          <w:color w:val="0000FF" w:themeColor="accent1"/>
        </w:rPr>
        <w:lastRenderedPageBreak/>
        <w:t xml:space="preserve">Convert the quantified fuel consumption into equivalent BTU using the factors provided in Table 4-1 in Section 4.1, </w:t>
      </w:r>
      <w:r w:rsidRPr="00C93CE3">
        <w:rPr>
          <w:i/>
          <w:iCs/>
          <w:color w:val="0000FF" w:themeColor="accent1"/>
        </w:rPr>
        <w:t>Introduction</w:t>
      </w:r>
      <w:r w:rsidRPr="00C93CE3">
        <w:rPr>
          <w:color w:val="0000FF" w:themeColor="accent1"/>
        </w:rPr>
        <w:t xml:space="preserve">. </w:t>
      </w:r>
    </w:p>
    <w:p w14:paraId="3DFAFD2D" w14:textId="17A88994" w:rsidR="00C51274" w:rsidRPr="00C93CE3" w:rsidRDefault="00C93CE3" w:rsidP="00C93CE3">
      <w:pPr>
        <w:rPr>
          <w:color w:val="0000FF" w:themeColor="accent1"/>
        </w:rPr>
      </w:pPr>
      <w:r w:rsidRPr="00C93CE3">
        <w:rPr>
          <w:color w:val="0000FF" w:themeColor="accent1"/>
        </w:rPr>
        <w:t>Document the fuel consumption and indirect energy in summary tables</w:t>
      </w:r>
      <w:r w:rsidR="00851223" w:rsidRPr="00C93CE3">
        <w:rPr>
          <w:color w:val="0000FF" w:themeColor="accent1"/>
        </w:rPr>
        <w:t xml:space="preserve">.  </w:t>
      </w:r>
      <w:r w:rsidRPr="00C93CE3">
        <w:rPr>
          <w:color w:val="0000FF" w:themeColor="accent1"/>
        </w:rPr>
        <w:t>Model outputs should be provided in an appendix</w:t>
      </w:r>
      <w:r w:rsidR="00851223" w:rsidRPr="00C93CE3">
        <w:rPr>
          <w:color w:val="0000FF" w:themeColor="accent1"/>
        </w:rPr>
        <w:t xml:space="preserve">.  </w:t>
      </w:r>
      <w:r w:rsidRPr="00C93CE3">
        <w:rPr>
          <w:color w:val="0000FF" w:themeColor="accent1"/>
        </w:rPr>
        <w:t>Compare indirect energy among the build alternative(s) and No-Build Alternative and existing conditions</w:t>
      </w:r>
      <w:r w:rsidR="00851223" w:rsidRPr="00C93CE3">
        <w:rPr>
          <w:color w:val="0000FF" w:themeColor="accent1"/>
        </w:rPr>
        <w:t xml:space="preserve">.  </w:t>
      </w:r>
      <w:r w:rsidRPr="00C93CE3">
        <w:rPr>
          <w:color w:val="0000FF" w:themeColor="accent1"/>
        </w:rPr>
        <w:t>Discuss energy-saving or conservation measures that have been incorporated into the project design</w:t>
      </w:r>
      <w:r w:rsidR="00851223" w:rsidRPr="00C93CE3">
        <w:rPr>
          <w:color w:val="0000FF" w:themeColor="accent1"/>
        </w:rPr>
        <w:t xml:space="preserve">.  </w:t>
      </w:r>
      <w:r w:rsidRPr="00C93CE3">
        <w:rPr>
          <w:color w:val="0000FF" w:themeColor="accent1"/>
        </w:rPr>
        <w:t>Consider the impact of future state regulations.</w:t>
      </w:r>
    </w:p>
    <w:p w14:paraId="3323D714" w14:textId="033813D2" w:rsidR="00F56C3C" w:rsidRDefault="00F56C3C" w:rsidP="00F56C3C">
      <w:pPr>
        <w:rPr>
          <w:color w:val="800080" w:themeColor="accent3"/>
        </w:rPr>
      </w:pPr>
      <w:bookmarkStart w:id="147" w:name="_Hlk149028959"/>
      <w:r>
        <w:rPr>
          <w:color w:val="0000FF" w:themeColor="accent1"/>
        </w:rPr>
        <w:t>The following is an example analysis.</w:t>
      </w:r>
      <w:r w:rsidRPr="006B3F76" w:rsidDel="007C79D3">
        <w:rPr>
          <w:color w:val="800080" w:themeColor="accent3"/>
        </w:rPr>
        <w:t xml:space="preserve"> </w:t>
      </w:r>
      <w:r w:rsidR="005F0A10">
        <w:rPr>
          <w:color w:val="800080" w:themeColor="accent3"/>
        </w:rPr>
        <w:t xml:space="preserve"> </w:t>
      </w:r>
      <w:r w:rsidR="005F0A10">
        <w:rPr>
          <w:color w:val="0000FF" w:themeColor="accent1"/>
        </w:rPr>
        <w:t>Note that example numeric results are provided in the tables but not in the narrative text.</w:t>
      </w:r>
    </w:p>
    <w:p w14:paraId="58515CEF" w14:textId="57637945" w:rsidR="008C2F14" w:rsidRPr="008C2F14" w:rsidRDefault="008C2F14" w:rsidP="008C2F14">
      <w:pPr>
        <w:rPr>
          <w:color w:val="800080" w:themeColor="accent3"/>
        </w:rPr>
      </w:pPr>
      <w:r w:rsidRPr="008C2F14">
        <w:rPr>
          <w:color w:val="800080" w:themeColor="accent3"/>
        </w:rPr>
        <w:t>Long-term maintenance of the various roadways within the project footprint would occur under either build alternative and the No-Build Alternative</w:t>
      </w:r>
      <w:bookmarkEnd w:id="147"/>
      <w:r w:rsidR="00851223" w:rsidRPr="008C2F14">
        <w:rPr>
          <w:color w:val="800080" w:themeColor="accent3"/>
        </w:rPr>
        <w:t xml:space="preserve">.  </w:t>
      </w:r>
      <w:r w:rsidRPr="008C2F14">
        <w:rPr>
          <w:color w:val="800080" w:themeColor="accent3"/>
        </w:rPr>
        <w:t xml:space="preserve">Indirect energy would be consumed by equipment and vehicles </w:t>
      </w:r>
      <w:r w:rsidR="005F0A10" w:rsidRPr="00F72CE0">
        <w:rPr>
          <w:color w:val="800080" w:themeColor="accent3"/>
        </w:rPr>
        <w:t xml:space="preserve">required for </w:t>
      </w:r>
      <w:r w:rsidR="005F0A10">
        <w:rPr>
          <w:color w:val="800080" w:themeColor="accent3"/>
        </w:rPr>
        <w:t>preventive and corrective maintenance</w:t>
      </w:r>
      <w:r w:rsidR="00851223" w:rsidRPr="008C2F14">
        <w:rPr>
          <w:color w:val="800080" w:themeColor="accent3"/>
        </w:rPr>
        <w:t xml:space="preserve">.  </w:t>
      </w:r>
      <w:r w:rsidRPr="008C2F14">
        <w:rPr>
          <w:color w:val="800080" w:themeColor="accent3"/>
        </w:rPr>
        <w:t>These activities would require gasoline and diesel equipment, such as trimmers and pavers</w:t>
      </w:r>
      <w:r w:rsidR="00851223" w:rsidRPr="008C2F14">
        <w:rPr>
          <w:color w:val="800080" w:themeColor="accent3"/>
        </w:rPr>
        <w:t xml:space="preserve">.  </w:t>
      </w:r>
      <w:r w:rsidRPr="008C2F14">
        <w:rPr>
          <w:color w:val="800080" w:themeColor="accent3"/>
        </w:rPr>
        <w:t xml:space="preserve">Light-duty work trucks would also be required for site access. </w:t>
      </w:r>
    </w:p>
    <w:p w14:paraId="44672BF1" w14:textId="12DD7FD2" w:rsidR="008C2F14" w:rsidRDefault="008C2F14" w:rsidP="008C2F14">
      <w:pPr>
        <w:rPr>
          <w:color w:val="800080" w:themeColor="accent3"/>
        </w:rPr>
      </w:pPr>
      <w:r w:rsidRPr="008C2F14">
        <w:rPr>
          <w:color w:val="800080" w:themeColor="accent3"/>
        </w:rPr>
        <w:t>Fuel consumed by annual maintenance activities was calculated by converting CO</w:t>
      </w:r>
      <w:r w:rsidRPr="008C2F14">
        <w:rPr>
          <w:color w:val="800080" w:themeColor="accent3"/>
          <w:vertAlign w:val="subscript"/>
        </w:rPr>
        <w:t>2</w:t>
      </w:r>
      <w:r w:rsidRPr="008C2F14">
        <w:rPr>
          <w:color w:val="800080" w:themeColor="accent3"/>
        </w:rPr>
        <w:t xml:space="preserve"> emissions predicted by the CalEEMod, version 2022, using the rate of emissions emitted per gallon of combusted gasoline (19.37 pounds CO</w:t>
      </w:r>
      <w:r w:rsidRPr="008C2F14">
        <w:rPr>
          <w:color w:val="800080" w:themeColor="accent3"/>
          <w:vertAlign w:val="subscript"/>
        </w:rPr>
        <w:t>2</w:t>
      </w:r>
      <w:r w:rsidRPr="008C2F14">
        <w:rPr>
          <w:color w:val="800080" w:themeColor="accent3"/>
        </w:rPr>
        <w:t xml:space="preserve"> per gallon) and diesel (22.45 pounds CO</w:t>
      </w:r>
      <w:r w:rsidRPr="008C2F14">
        <w:rPr>
          <w:color w:val="800080" w:themeColor="accent3"/>
          <w:vertAlign w:val="subscript"/>
        </w:rPr>
        <w:t>2</w:t>
      </w:r>
      <w:r w:rsidRPr="008C2F14">
        <w:rPr>
          <w:color w:val="800080" w:themeColor="accent3"/>
        </w:rPr>
        <w:t xml:space="preserve"> per gallon) (</w:t>
      </w:r>
      <w:r w:rsidR="00412315">
        <w:rPr>
          <w:color w:val="800080" w:themeColor="accent3"/>
        </w:rPr>
        <w:t>U.S. EPA</w:t>
      </w:r>
      <w:r w:rsidRPr="008C2F14">
        <w:rPr>
          <w:color w:val="800080" w:themeColor="accent3"/>
        </w:rPr>
        <w:t xml:space="preserve"> 2023)</w:t>
      </w:r>
      <w:r w:rsidR="00851223" w:rsidRPr="008C2F14">
        <w:rPr>
          <w:color w:val="800080" w:themeColor="accent3"/>
        </w:rPr>
        <w:t xml:space="preserve">.  </w:t>
      </w:r>
      <w:r w:rsidRPr="008C2F14">
        <w:rPr>
          <w:color w:val="800080" w:themeColor="accent3"/>
        </w:rPr>
        <w:t>The fuel estimates were converted to BTU using the heat content of each fuel, as shown in Table 4-1</w:t>
      </w:r>
      <w:r w:rsidR="00851223" w:rsidRPr="008C2F14">
        <w:rPr>
          <w:color w:val="800080" w:themeColor="accent3"/>
        </w:rPr>
        <w:t xml:space="preserve">.  </w:t>
      </w:r>
      <w:r w:rsidRPr="008C2F14">
        <w:rPr>
          <w:color w:val="800080" w:themeColor="accent3"/>
        </w:rPr>
        <w:t>Table 4-</w:t>
      </w:r>
      <w:r>
        <w:rPr>
          <w:color w:val="800080" w:themeColor="accent3"/>
        </w:rPr>
        <w:t>6</w:t>
      </w:r>
      <w:r w:rsidRPr="008C2F14">
        <w:rPr>
          <w:color w:val="800080" w:themeColor="accent3"/>
        </w:rPr>
        <w:t xml:space="preserve"> summarizes the fuel consumption estimates and indirect energy required for maintenance activities</w:t>
      </w:r>
      <w:r w:rsidR="00851223" w:rsidRPr="008C2F14">
        <w:rPr>
          <w:color w:val="800080" w:themeColor="accent3"/>
        </w:rPr>
        <w:t xml:space="preserve">.  </w:t>
      </w:r>
      <w:r w:rsidRPr="008C2F14">
        <w:rPr>
          <w:color w:val="800080" w:themeColor="accent3"/>
        </w:rPr>
        <w:t>Refer to Appendix C for the CalEEMod output.</w:t>
      </w:r>
    </w:p>
    <w:p w14:paraId="6FA5C6CE" w14:textId="3CFF357F" w:rsidR="00F438CF" w:rsidRPr="00936B73" w:rsidRDefault="004F24C2" w:rsidP="00F438CF">
      <w:pPr>
        <w:pStyle w:val="TableTitle"/>
        <w:rPr>
          <w:color w:val="800080" w:themeColor="accent3"/>
        </w:rPr>
      </w:pPr>
      <w:bookmarkStart w:id="148" w:name="_Toc157429614"/>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6</w:t>
      </w:r>
      <w:r w:rsidRPr="004F24C2">
        <w:rPr>
          <w:noProof/>
          <w:color w:val="800080" w:themeColor="accent3"/>
        </w:rPr>
        <w:fldChar w:fldCharType="end"/>
      </w:r>
      <w:r w:rsidRPr="004F24C2">
        <w:rPr>
          <w:color w:val="800080" w:themeColor="accent3"/>
        </w:rPr>
        <w:t xml:space="preserve">: </w:t>
      </w:r>
      <w:r w:rsidR="000D0752" w:rsidRPr="000D0752">
        <w:rPr>
          <w:color w:val="800080" w:themeColor="accent3"/>
        </w:rPr>
        <w:t>Annual Maintenance Fuel Consumption and Indirect Energy by Alternative and Study Year</w:t>
      </w:r>
      <w:bookmarkEnd w:id="148"/>
    </w:p>
    <w:tbl>
      <w:tblPr>
        <w:tblStyle w:val="TableGrid"/>
        <w:tblW w:w="9445" w:type="dxa"/>
        <w:tblLook w:val="0020" w:firstRow="1" w:lastRow="0" w:firstColumn="0" w:lastColumn="0" w:noHBand="0" w:noVBand="0"/>
        <w:tblCaption w:val="Annual Maintenance Fuel Consumption and Indirect Energy by Alternative and Study Year"/>
        <w:tblDescription w:val="A table with example results for maintenance diesel, gasoline, and indirect energy consumption, and the change in indirect energy from 2023 existing conditions and no-build conditions for each alternative and study year."/>
      </w:tblPr>
      <w:tblGrid>
        <w:gridCol w:w="2600"/>
        <w:gridCol w:w="1050"/>
        <w:gridCol w:w="1061"/>
        <w:gridCol w:w="978"/>
        <w:gridCol w:w="1923"/>
        <w:gridCol w:w="1833"/>
      </w:tblGrid>
      <w:tr w:rsidR="00997B7B" w:rsidRPr="00936B73" w14:paraId="1A2F41FD" w14:textId="77777777" w:rsidTr="00BC4340">
        <w:trPr>
          <w:cantSplit/>
        </w:trPr>
        <w:tc>
          <w:tcPr>
            <w:tcW w:w="2600" w:type="dxa"/>
          </w:tcPr>
          <w:p w14:paraId="45C8B91B" w14:textId="77777777" w:rsidR="00997B7B" w:rsidRPr="00936B73" w:rsidRDefault="00997B7B" w:rsidP="00E2161A">
            <w:pPr>
              <w:pStyle w:val="TableHeading"/>
              <w:rPr>
                <w:color w:val="800080" w:themeColor="accent3"/>
              </w:rPr>
            </w:pPr>
            <w:r>
              <w:rPr>
                <w:color w:val="800080" w:themeColor="accent3"/>
              </w:rPr>
              <w:t>Alternative and Study Year</w:t>
            </w:r>
          </w:p>
        </w:tc>
        <w:tc>
          <w:tcPr>
            <w:tcW w:w="1050" w:type="dxa"/>
          </w:tcPr>
          <w:p w14:paraId="40722CC8" w14:textId="67FDD76E" w:rsidR="00997B7B" w:rsidRPr="00936B73" w:rsidRDefault="0037080F" w:rsidP="00E2161A">
            <w:pPr>
              <w:pStyle w:val="TableHeading"/>
              <w:rPr>
                <w:color w:val="800080" w:themeColor="accent3"/>
              </w:rPr>
            </w:pPr>
            <w:r w:rsidRPr="0037080F">
              <w:rPr>
                <w:color w:val="800080" w:themeColor="accent3"/>
              </w:rPr>
              <w:t>Diesel (gallons)</w:t>
            </w:r>
          </w:p>
        </w:tc>
        <w:tc>
          <w:tcPr>
            <w:tcW w:w="1061" w:type="dxa"/>
          </w:tcPr>
          <w:p w14:paraId="3A87BCE6" w14:textId="0DB4BB23" w:rsidR="00997B7B" w:rsidRDefault="00051AB7" w:rsidP="00E2161A">
            <w:pPr>
              <w:pStyle w:val="TableHeading"/>
              <w:rPr>
                <w:color w:val="800080" w:themeColor="accent3"/>
              </w:rPr>
            </w:pPr>
            <w:r w:rsidRPr="00051AB7">
              <w:rPr>
                <w:color w:val="800080" w:themeColor="accent3"/>
              </w:rPr>
              <w:t>Gasoline (gallons)</w:t>
            </w:r>
          </w:p>
        </w:tc>
        <w:tc>
          <w:tcPr>
            <w:tcW w:w="978" w:type="dxa"/>
          </w:tcPr>
          <w:p w14:paraId="5453C981" w14:textId="0317ACAF" w:rsidR="00997B7B" w:rsidRDefault="00787143" w:rsidP="00E2161A">
            <w:pPr>
              <w:pStyle w:val="TableHeading"/>
              <w:rPr>
                <w:color w:val="800080" w:themeColor="accent3"/>
              </w:rPr>
            </w:pPr>
            <w:r>
              <w:rPr>
                <w:color w:val="800080" w:themeColor="accent3"/>
              </w:rPr>
              <w:t>Indirect</w:t>
            </w:r>
            <w:r w:rsidRPr="00BB3877">
              <w:rPr>
                <w:color w:val="800080" w:themeColor="accent3"/>
              </w:rPr>
              <w:t xml:space="preserve"> Energy (million BTU)</w:t>
            </w:r>
          </w:p>
        </w:tc>
        <w:tc>
          <w:tcPr>
            <w:tcW w:w="1923" w:type="dxa"/>
          </w:tcPr>
          <w:p w14:paraId="772CC4AD" w14:textId="567D6039" w:rsidR="00997B7B" w:rsidRPr="00936B73" w:rsidRDefault="00997B7B" w:rsidP="00E2161A">
            <w:pPr>
              <w:pStyle w:val="TableHeading"/>
              <w:rPr>
                <w:color w:val="800080" w:themeColor="accent3"/>
              </w:rPr>
            </w:pPr>
            <w:r>
              <w:rPr>
                <w:color w:val="800080" w:themeColor="accent3"/>
              </w:rPr>
              <w:t>Indirect Energy Change from 202</w:t>
            </w:r>
            <w:r w:rsidR="00A80868">
              <w:rPr>
                <w:color w:val="800080" w:themeColor="accent3"/>
              </w:rPr>
              <w:t>3</w:t>
            </w:r>
            <w:r>
              <w:rPr>
                <w:color w:val="800080" w:themeColor="accent3"/>
              </w:rPr>
              <w:t xml:space="preserve"> Existing (% Change)</w:t>
            </w:r>
          </w:p>
        </w:tc>
        <w:tc>
          <w:tcPr>
            <w:tcW w:w="1833" w:type="dxa"/>
          </w:tcPr>
          <w:p w14:paraId="0B8220C1" w14:textId="232C4179" w:rsidR="00997B7B" w:rsidRPr="00936B73" w:rsidRDefault="00997B7B" w:rsidP="00E2161A">
            <w:pPr>
              <w:pStyle w:val="TableHeading"/>
              <w:rPr>
                <w:color w:val="800080" w:themeColor="accent3"/>
              </w:rPr>
            </w:pPr>
            <w:r>
              <w:rPr>
                <w:color w:val="800080" w:themeColor="accent3"/>
              </w:rPr>
              <w:t>Indirect Energy Change from No-Build (% Change)</w:t>
            </w:r>
          </w:p>
        </w:tc>
      </w:tr>
      <w:tr w:rsidR="00997B7B" w:rsidRPr="00936B73" w14:paraId="6A3714CD" w14:textId="77777777" w:rsidTr="00BC4340">
        <w:trPr>
          <w:cantSplit/>
        </w:trPr>
        <w:tc>
          <w:tcPr>
            <w:tcW w:w="2600" w:type="dxa"/>
          </w:tcPr>
          <w:p w14:paraId="22035164" w14:textId="22E148BE" w:rsidR="00997B7B" w:rsidRPr="00936B73" w:rsidRDefault="00997B7B" w:rsidP="00E2161A">
            <w:pPr>
              <w:pStyle w:val="TableText"/>
              <w:rPr>
                <w:color w:val="800080" w:themeColor="accent3"/>
              </w:rPr>
            </w:pPr>
            <w:r>
              <w:rPr>
                <w:color w:val="800080" w:themeColor="accent3"/>
              </w:rPr>
              <w:t>202</w:t>
            </w:r>
            <w:r w:rsidR="00A80868">
              <w:rPr>
                <w:color w:val="800080" w:themeColor="accent3"/>
              </w:rPr>
              <w:t>3</w:t>
            </w:r>
            <w:r>
              <w:rPr>
                <w:color w:val="800080" w:themeColor="accent3"/>
              </w:rPr>
              <w:t xml:space="preserve"> Existing Conditions</w:t>
            </w:r>
          </w:p>
        </w:tc>
        <w:tc>
          <w:tcPr>
            <w:tcW w:w="1050" w:type="dxa"/>
          </w:tcPr>
          <w:p w14:paraId="745631EE" w14:textId="0AE4703B" w:rsidR="00997B7B" w:rsidRPr="00936B73" w:rsidRDefault="00315E92" w:rsidP="00E2161A">
            <w:pPr>
              <w:pStyle w:val="TableText"/>
              <w:rPr>
                <w:color w:val="800080" w:themeColor="accent3"/>
              </w:rPr>
            </w:pPr>
            <w:r w:rsidRPr="00315E92">
              <w:rPr>
                <w:color w:val="800080" w:themeColor="accent3"/>
              </w:rPr>
              <w:t>8,347</w:t>
            </w:r>
          </w:p>
        </w:tc>
        <w:tc>
          <w:tcPr>
            <w:tcW w:w="1061" w:type="dxa"/>
          </w:tcPr>
          <w:p w14:paraId="4FFAB289" w14:textId="2A8E7A1C" w:rsidR="00997B7B" w:rsidRPr="0009707A" w:rsidRDefault="00315E92" w:rsidP="00E2161A">
            <w:pPr>
              <w:pStyle w:val="TableText"/>
              <w:rPr>
                <w:color w:val="800080" w:themeColor="accent3"/>
              </w:rPr>
            </w:pPr>
            <w:r>
              <w:rPr>
                <w:color w:val="800080" w:themeColor="accent3"/>
              </w:rPr>
              <w:t>2,845</w:t>
            </w:r>
          </w:p>
        </w:tc>
        <w:tc>
          <w:tcPr>
            <w:tcW w:w="978" w:type="dxa"/>
          </w:tcPr>
          <w:p w14:paraId="624ECAA6" w14:textId="09EC03CE" w:rsidR="00997B7B" w:rsidRPr="0009707A" w:rsidRDefault="00315E92" w:rsidP="00E2161A">
            <w:pPr>
              <w:pStyle w:val="TableText"/>
              <w:rPr>
                <w:color w:val="800080" w:themeColor="accent3"/>
              </w:rPr>
            </w:pPr>
            <w:r>
              <w:rPr>
                <w:color w:val="800080" w:themeColor="accent3"/>
              </w:rPr>
              <w:t>1,489</w:t>
            </w:r>
          </w:p>
        </w:tc>
        <w:tc>
          <w:tcPr>
            <w:tcW w:w="1923" w:type="dxa"/>
          </w:tcPr>
          <w:p w14:paraId="29C6780A" w14:textId="1E302815" w:rsidR="00997B7B" w:rsidRPr="00936B73" w:rsidRDefault="00EE4C07" w:rsidP="00E2161A">
            <w:pPr>
              <w:pStyle w:val="TableText"/>
              <w:rPr>
                <w:color w:val="800080" w:themeColor="accent3"/>
              </w:rPr>
            </w:pPr>
            <w:r w:rsidRPr="00A23112">
              <w:rPr>
                <w:color w:val="800080" w:themeColor="accent3"/>
              </w:rPr>
              <w:t>N/A</w:t>
            </w:r>
          </w:p>
        </w:tc>
        <w:tc>
          <w:tcPr>
            <w:tcW w:w="1833" w:type="dxa"/>
          </w:tcPr>
          <w:p w14:paraId="3DF7E5C9" w14:textId="387E6334" w:rsidR="00997B7B" w:rsidRPr="00936B73" w:rsidRDefault="00EE4C07" w:rsidP="00E2161A">
            <w:pPr>
              <w:pStyle w:val="TableText"/>
              <w:rPr>
                <w:color w:val="800080" w:themeColor="accent3"/>
              </w:rPr>
            </w:pPr>
            <w:r w:rsidRPr="00A23112">
              <w:rPr>
                <w:color w:val="800080" w:themeColor="accent3"/>
              </w:rPr>
              <w:t>N/A</w:t>
            </w:r>
          </w:p>
        </w:tc>
      </w:tr>
      <w:tr w:rsidR="00997B7B" w:rsidRPr="00936B73" w14:paraId="0C76B4D7" w14:textId="77777777" w:rsidTr="00BC4340">
        <w:trPr>
          <w:cantSplit/>
        </w:trPr>
        <w:tc>
          <w:tcPr>
            <w:tcW w:w="2600" w:type="dxa"/>
          </w:tcPr>
          <w:p w14:paraId="5E25F2EF" w14:textId="77777777" w:rsidR="00997B7B" w:rsidRPr="00936B73" w:rsidRDefault="00997B7B" w:rsidP="00E2161A">
            <w:pPr>
              <w:pStyle w:val="TableText"/>
              <w:rPr>
                <w:color w:val="800080" w:themeColor="accent3"/>
              </w:rPr>
            </w:pPr>
            <w:r>
              <w:rPr>
                <w:color w:val="800080" w:themeColor="accent3"/>
              </w:rPr>
              <w:t xml:space="preserve">2025 No-Build Alternative </w:t>
            </w:r>
          </w:p>
        </w:tc>
        <w:tc>
          <w:tcPr>
            <w:tcW w:w="1050" w:type="dxa"/>
          </w:tcPr>
          <w:p w14:paraId="70E59B54" w14:textId="63B096DC" w:rsidR="00997B7B" w:rsidRPr="00936B73" w:rsidRDefault="002A3E6D" w:rsidP="00E2161A">
            <w:pPr>
              <w:pStyle w:val="TableText"/>
              <w:rPr>
                <w:color w:val="800080" w:themeColor="accent3"/>
              </w:rPr>
            </w:pPr>
            <w:r>
              <w:rPr>
                <w:color w:val="800080" w:themeColor="accent3"/>
              </w:rPr>
              <w:t>8,249</w:t>
            </w:r>
          </w:p>
        </w:tc>
        <w:tc>
          <w:tcPr>
            <w:tcW w:w="1061" w:type="dxa"/>
          </w:tcPr>
          <w:p w14:paraId="0D0A1C28" w14:textId="08984F04" w:rsidR="00997B7B" w:rsidRPr="003261A4" w:rsidRDefault="00315E92" w:rsidP="00E2161A">
            <w:pPr>
              <w:pStyle w:val="TableText"/>
              <w:rPr>
                <w:color w:val="800080" w:themeColor="accent3"/>
              </w:rPr>
            </w:pPr>
            <w:r>
              <w:rPr>
                <w:color w:val="800080" w:themeColor="accent3"/>
              </w:rPr>
              <w:t>2,</w:t>
            </w:r>
            <w:r w:rsidR="002A3E6D">
              <w:rPr>
                <w:color w:val="800080" w:themeColor="accent3"/>
              </w:rPr>
              <w:t>732</w:t>
            </w:r>
          </w:p>
        </w:tc>
        <w:tc>
          <w:tcPr>
            <w:tcW w:w="978" w:type="dxa"/>
          </w:tcPr>
          <w:p w14:paraId="25661E8E" w14:textId="561BFECE" w:rsidR="00997B7B" w:rsidRPr="003261A4" w:rsidRDefault="00315E92" w:rsidP="00E2161A">
            <w:pPr>
              <w:pStyle w:val="TableText"/>
              <w:rPr>
                <w:color w:val="800080" w:themeColor="accent3"/>
              </w:rPr>
            </w:pPr>
            <w:r>
              <w:rPr>
                <w:color w:val="800080" w:themeColor="accent3"/>
              </w:rPr>
              <w:t>1,</w:t>
            </w:r>
            <w:r w:rsidR="002A3E6D">
              <w:rPr>
                <w:color w:val="800080" w:themeColor="accent3"/>
              </w:rPr>
              <w:t>462</w:t>
            </w:r>
          </w:p>
        </w:tc>
        <w:tc>
          <w:tcPr>
            <w:tcW w:w="1923" w:type="dxa"/>
          </w:tcPr>
          <w:p w14:paraId="3384E3EC" w14:textId="40350062" w:rsidR="00997B7B" w:rsidRPr="00936B73" w:rsidRDefault="00315E92" w:rsidP="00E2161A">
            <w:pPr>
              <w:pStyle w:val="TableText"/>
              <w:rPr>
                <w:color w:val="800080" w:themeColor="accent3"/>
              </w:rPr>
            </w:pPr>
            <w:r>
              <w:rPr>
                <w:color w:val="800080" w:themeColor="accent3"/>
              </w:rPr>
              <w:t>-</w:t>
            </w:r>
            <w:r w:rsidR="002A3E6D">
              <w:rPr>
                <w:color w:val="800080" w:themeColor="accent3"/>
              </w:rPr>
              <w:t xml:space="preserve">27 </w:t>
            </w:r>
            <w:r>
              <w:rPr>
                <w:color w:val="800080" w:themeColor="accent3"/>
              </w:rPr>
              <w:t>(-</w:t>
            </w:r>
            <w:r w:rsidR="002A3E6D">
              <w:rPr>
                <w:color w:val="800080" w:themeColor="accent3"/>
              </w:rPr>
              <w:t>2</w:t>
            </w:r>
            <w:r>
              <w:rPr>
                <w:color w:val="800080" w:themeColor="accent3"/>
              </w:rPr>
              <w:t>%)</w:t>
            </w:r>
          </w:p>
        </w:tc>
        <w:tc>
          <w:tcPr>
            <w:tcW w:w="1833" w:type="dxa"/>
          </w:tcPr>
          <w:p w14:paraId="0C2898B3" w14:textId="4C5C7835" w:rsidR="00997B7B" w:rsidRPr="00936B73" w:rsidRDefault="00EE4C07" w:rsidP="00E2161A">
            <w:pPr>
              <w:pStyle w:val="TableText"/>
              <w:rPr>
                <w:color w:val="800080" w:themeColor="accent3"/>
              </w:rPr>
            </w:pPr>
            <w:r w:rsidRPr="00A23112">
              <w:rPr>
                <w:color w:val="800080" w:themeColor="accent3"/>
              </w:rPr>
              <w:t>N/A</w:t>
            </w:r>
          </w:p>
        </w:tc>
      </w:tr>
      <w:tr w:rsidR="00315E92" w:rsidRPr="00936B73" w14:paraId="5C575780" w14:textId="77777777" w:rsidTr="00BC4340">
        <w:trPr>
          <w:cantSplit/>
        </w:trPr>
        <w:tc>
          <w:tcPr>
            <w:tcW w:w="2600" w:type="dxa"/>
          </w:tcPr>
          <w:p w14:paraId="41045D38" w14:textId="77777777" w:rsidR="00315E92" w:rsidRPr="00936B73" w:rsidRDefault="00315E92" w:rsidP="00315E92">
            <w:pPr>
              <w:pStyle w:val="TableText"/>
              <w:rPr>
                <w:color w:val="800080" w:themeColor="accent3"/>
              </w:rPr>
            </w:pPr>
            <w:r>
              <w:rPr>
                <w:color w:val="800080" w:themeColor="accent3"/>
              </w:rPr>
              <w:t>2025 Alternative 1</w:t>
            </w:r>
          </w:p>
        </w:tc>
        <w:tc>
          <w:tcPr>
            <w:tcW w:w="1050" w:type="dxa"/>
          </w:tcPr>
          <w:p w14:paraId="5F790143" w14:textId="66427443" w:rsidR="00315E92" w:rsidRPr="00936B73" w:rsidRDefault="00315E92" w:rsidP="00315E92">
            <w:pPr>
              <w:pStyle w:val="TableText"/>
              <w:rPr>
                <w:color w:val="800080" w:themeColor="accent3"/>
              </w:rPr>
            </w:pPr>
            <w:r>
              <w:rPr>
                <w:color w:val="800080" w:themeColor="accent3"/>
              </w:rPr>
              <w:t>7,856</w:t>
            </w:r>
          </w:p>
        </w:tc>
        <w:tc>
          <w:tcPr>
            <w:tcW w:w="1061" w:type="dxa"/>
          </w:tcPr>
          <w:p w14:paraId="6B723FAA" w14:textId="408C9E0B" w:rsidR="00315E92" w:rsidRPr="00750B58" w:rsidRDefault="00315E92" w:rsidP="00315E92">
            <w:pPr>
              <w:pStyle w:val="TableText"/>
              <w:rPr>
                <w:color w:val="800080" w:themeColor="accent3"/>
              </w:rPr>
            </w:pPr>
            <w:r>
              <w:rPr>
                <w:color w:val="800080" w:themeColor="accent3"/>
              </w:rPr>
              <w:t>2,276</w:t>
            </w:r>
          </w:p>
        </w:tc>
        <w:tc>
          <w:tcPr>
            <w:tcW w:w="978" w:type="dxa"/>
          </w:tcPr>
          <w:p w14:paraId="19ECE9E9" w14:textId="4332E435" w:rsidR="00315E92" w:rsidRPr="00750B58" w:rsidRDefault="00315E92" w:rsidP="00315E92">
            <w:pPr>
              <w:pStyle w:val="TableText"/>
              <w:rPr>
                <w:color w:val="800080" w:themeColor="accent3"/>
              </w:rPr>
            </w:pPr>
            <w:r>
              <w:rPr>
                <w:color w:val="800080" w:themeColor="accent3"/>
              </w:rPr>
              <w:t>1,353</w:t>
            </w:r>
          </w:p>
        </w:tc>
        <w:tc>
          <w:tcPr>
            <w:tcW w:w="1923" w:type="dxa"/>
          </w:tcPr>
          <w:p w14:paraId="403251F7" w14:textId="680F398C" w:rsidR="00315E92" w:rsidRPr="00936B73" w:rsidRDefault="00315E92" w:rsidP="00315E92">
            <w:pPr>
              <w:pStyle w:val="TableText"/>
              <w:rPr>
                <w:color w:val="800080" w:themeColor="accent3"/>
              </w:rPr>
            </w:pPr>
            <w:r w:rsidRPr="009B59E6">
              <w:rPr>
                <w:color w:val="800080" w:themeColor="accent3"/>
              </w:rPr>
              <w:t>-136 (-9%)</w:t>
            </w:r>
          </w:p>
        </w:tc>
        <w:tc>
          <w:tcPr>
            <w:tcW w:w="1833" w:type="dxa"/>
          </w:tcPr>
          <w:p w14:paraId="657F3669" w14:textId="4900C0BE" w:rsidR="00315E92" w:rsidRPr="00936B73" w:rsidRDefault="002A3E6D" w:rsidP="00315E92">
            <w:pPr>
              <w:pStyle w:val="TableText"/>
              <w:rPr>
                <w:color w:val="800080" w:themeColor="accent3"/>
              </w:rPr>
            </w:pPr>
            <w:r>
              <w:rPr>
                <w:color w:val="800080" w:themeColor="accent3"/>
              </w:rPr>
              <w:t>-109</w:t>
            </w:r>
            <w:r w:rsidR="00315E92">
              <w:rPr>
                <w:color w:val="800080" w:themeColor="accent3"/>
              </w:rPr>
              <w:t xml:space="preserve"> (</w:t>
            </w:r>
            <w:r w:rsidR="007616FE">
              <w:rPr>
                <w:color w:val="800080" w:themeColor="accent3"/>
              </w:rPr>
              <w:t>-7</w:t>
            </w:r>
            <w:r w:rsidR="00315E92">
              <w:rPr>
                <w:color w:val="800080" w:themeColor="accent3"/>
              </w:rPr>
              <w:t>%)</w:t>
            </w:r>
          </w:p>
        </w:tc>
      </w:tr>
      <w:tr w:rsidR="00315E92" w:rsidRPr="00936B73" w14:paraId="42E406F4" w14:textId="77777777" w:rsidTr="00BC4340">
        <w:trPr>
          <w:cantSplit/>
        </w:trPr>
        <w:tc>
          <w:tcPr>
            <w:tcW w:w="2600" w:type="dxa"/>
          </w:tcPr>
          <w:p w14:paraId="1DC49EEC" w14:textId="77777777" w:rsidR="00315E92" w:rsidRPr="00936B73" w:rsidRDefault="00315E92" w:rsidP="00315E92">
            <w:pPr>
              <w:pStyle w:val="TableText"/>
              <w:rPr>
                <w:color w:val="800080" w:themeColor="accent3"/>
              </w:rPr>
            </w:pPr>
            <w:r>
              <w:rPr>
                <w:color w:val="800080" w:themeColor="accent3"/>
              </w:rPr>
              <w:t>2025 Alternative 2</w:t>
            </w:r>
          </w:p>
        </w:tc>
        <w:tc>
          <w:tcPr>
            <w:tcW w:w="1050" w:type="dxa"/>
          </w:tcPr>
          <w:p w14:paraId="1B1179E9" w14:textId="38215AAD" w:rsidR="00315E92" w:rsidRPr="00936B73" w:rsidRDefault="00315E92" w:rsidP="00315E92">
            <w:pPr>
              <w:pStyle w:val="TableText"/>
              <w:rPr>
                <w:color w:val="800080" w:themeColor="accent3"/>
              </w:rPr>
            </w:pPr>
            <w:r>
              <w:rPr>
                <w:color w:val="800080" w:themeColor="accent3"/>
              </w:rPr>
              <w:t>7,856</w:t>
            </w:r>
          </w:p>
        </w:tc>
        <w:tc>
          <w:tcPr>
            <w:tcW w:w="1061" w:type="dxa"/>
          </w:tcPr>
          <w:p w14:paraId="0CD62AE6" w14:textId="45D68B6A" w:rsidR="00315E92" w:rsidRPr="00BA75C3" w:rsidRDefault="00315E92" w:rsidP="00315E92">
            <w:pPr>
              <w:pStyle w:val="TableText"/>
              <w:rPr>
                <w:color w:val="800080" w:themeColor="accent3"/>
              </w:rPr>
            </w:pPr>
            <w:r>
              <w:rPr>
                <w:color w:val="800080" w:themeColor="accent3"/>
              </w:rPr>
              <w:t>2,276</w:t>
            </w:r>
          </w:p>
        </w:tc>
        <w:tc>
          <w:tcPr>
            <w:tcW w:w="978" w:type="dxa"/>
          </w:tcPr>
          <w:p w14:paraId="52C7C009" w14:textId="2555BBFD" w:rsidR="00315E92" w:rsidRPr="00BA75C3" w:rsidRDefault="00315E92" w:rsidP="00315E92">
            <w:pPr>
              <w:pStyle w:val="TableText"/>
              <w:rPr>
                <w:color w:val="800080" w:themeColor="accent3"/>
              </w:rPr>
            </w:pPr>
            <w:r>
              <w:rPr>
                <w:color w:val="800080" w:themeColor="accent3"/>
              </w:rPr>
              <w:t>1,353</w:t>
            </w:r>
          </w:p>
        </w:tc>
        <w:tc>
          <w:tcPr>
            <w:tcW w:w="1923" w:type="dxa"/>
          </w:tcPr>
          <w:p w14:paraId="087E9FA3" w14:textId="2B1F9BC2" w:rsidR="00315E92" w:rsidRPr="00936B73" w:rsidRDefault="00315E92" w:rsidP="00315E92">
            <w:pPr>
              <w:pStyle w:val="TableText"/>
              <w:rPr>
                <w:color w:val="800080" w:themeColor="accent3"/>
              </w:rPr>
            </w:pPr>
            <w:r w:rsidRPr="009B59E6">
              <w:rPr>
                <w:color w:val="800080" w:themeColor="accent3"/>
              </w:rPr>
              <w:t>-136 (-9%)</w:t>
            </w:r>
          </w:p>
        </w:tc>
        <w:tc>
          <w:tcPr>
            <w:tcW w:w="1833" w:type="dxa"/>
          </w:tcPr>
          <w:p w14:paraId="7CBEE855" w14:textId="3D4B7C15" w:rsidR="00315E92" w:rsidRPr="00936B73" w:rsidRDefault="007616FE" w:rsidP="00315E92">
            <w:pPr>
              <w:pStyle w:val="TableText"/>
              <w:rPr>
                <w:color w:val="800080" w:themeColor="accent3"/>
              </w:rPr>
            </w:pPr>
            <w:r>
              <w:rPr>
                <w:color w:val="800080" w:themeColor="accent3"/>
              </w:rPr>
              <w:t>-109</w:t>
            </w:r>
            <w:r w:rsidR="00315E92">
              <w:rPr>
                <w:color w:val="800080" w:themeColor="accent3"/>
              </w:rPr>
              <w:t xml:space="preserve"> (</w:t>
            </w:r>
            <w:r>
              <w:rPr>
                <w:color w:val="800080" w:themeColor="accent3"/>
              </w:rPr>
              <w:t>-7</w:t>
            </w:r>
            <w:r w:rsidR="00315E92">
              <w:rPr>
                <w:color w:val="800080" w:themeColor="accent3"/>
              </w:rPr>
              <w:t>%)</w:t>
            </w:r>
          </w:p>
        </w:tc>
      </w:tr>
      <w:tr w:rsidR="00315E92" w:rsidRPr="00936B73" w14:paraId="19729E1C" w14:textId="77777777" w:rsidTr="00BC4340">
        <w:trPr>
          <w:cantSplit/>
        </w:trPr>
        <w:tc>
          <w:tcPr>
            <w:tcW w:w="2600" w:type="dxa"/>
          </w:tcPr>
          <w:p w14:paraId="40EBA511" w14:textId="77777777" w:rsidR="00315E92" w:rsidRPr="00936B73" w:rsidRDefault="00315E92" w:rsidP="00315E92">
            <w:pPr>
              <w:pStyle w:val="TableText"/>
              <w:rPr>
                <w:color w:val="800080" w:themeColor="accent3"/>
              </w:rPr>
            </w:pPr>
            <w:r>
              <w:rPr>
                <w:color w:val="800080" w:themeColor="accent3"/>
              </w:rPr>
              <w:t xml:space="preserve">2045 No-Build Alternative </w:t>
            </w:r>
          </w:p>
        </w:tc>
        <w:tc>
          <w:tcPr>
            <w:tcW w:w="1050" w:type="dxa"/>
          </w:tcPr>
          <w:p w14:paraId="2B2862A1" w14:textId="13E41224" w:rsidR="00315E92" w:rsidRPr="00936B73" w:rsidRDefault="00315E92" w:rsidP="00315E92">
            <w:pPr>
              <w:pStyle w:val="TableText"/>
              <w:rPr>
                <w:color w:val="800080" w:themeColor="accent3"/>
              </w:rPr>
            </w:pPr>
            <w:r>
              <w:rPr>
                <w:color w:val="800080" w:themeColor="accent3"/>
              </w:rPr>
              <w:t>5,</w:t>
            </w:r>
            <w:r w:rsidR="007616FE">
              <w:rPr>
                <w:color w:val="800080" w:themeColor="accent3"/>
              </w:rPr>
              <w:t>892</w:t>
            </w:r>
          </w:p>
        </w:tc>
        <w:tc>
          <w:tcPr>
            <w:tcW w:w="1061" w:type="dxa"/>
          </w:tcPr>
          <w:p w14:paraId="60784AF8" w14:textId="2F98A0C2" w:rsidR="00315E92" w:rsidRPr="001469B2" w:rsidRDefault="00315E92" w:rsidP="00315E92">
            <w:pPr>
              <w:pStyle w:val="TableText"/>
              <w:rPr>
                <w:color w:val="800080" w:themeColor="accent3"/>
              </w:rPr>
            </w:pPr>
            <w:r>
              <w:rPr>
                <w:color w:val="800080" w:themeColor="accent3"/>
              </w:rPr>
              <w:t>1,</w:t>
            </w:r>
            <w:r w:rsidR="007616FE">
              <w:rPr>
                <w:color w:val="800080" w:themeColor="accent3"/>
              </w:rPr>
              <w:t>935</w:t>
            </w:r>
          </w:p>
        </w:tc>
        <w:tc>
          <w:tcPr>
            <w:tcW w:w="978" w:type="dxa"/>
          </w:tcPr>
          <w:p w14:paraId="7718E4E0" w14:textId="0D5BF65D" w:rsidR="00315E92" w:rsidRPr="001469B2" w:rsidRDefault="007616FE" w:rsidP="00315E92">
            <w:pPr>
              <w:pStyle w:val="TableText"/>
              <w:rPr>
                <w:color w:val="800080" w:themeColor="accent3"/>
              </w:rPr>
            </w:pPr>
            <w:r>
              <w:rPr>
                <w:color w:val="800080" w:themeColor="accent3"/>
              </w:rPr>
              <w:t>1,042</w:t>
            </w:r>
          </w:p>
        </w:tc>
        <w:tc>
          <w:tcPr>
            <w:tcW w:w="1923" w:type="dxa"/>
          </w:tcPr>
          <w:p w14:paraId="475C9214" w14:textId="5709D382" w:rsidR="00315E92" w:rsidRPr="00936B73" w:rsidRDefault="00315E92" w:rsidP="00315E92">
            <w:pPr>
              <w:pStyle w:val="TableText"/>
              <w:rPr>
                <w:color w:val="800080" w:themeColor="accent3"/>
              </w:rPr>
            </w:pPr>
            <w:r>
              <w:rPr>
                <w:color w:val="800080" w:themeColor="accent3"/>
              </w:rPr>
              <w:t>-</w:t>
            </w:r>
            <w:r w:rsidR="007616FE">
              <w:rPr>
                <w:color w:val="800080" w:themeColor="accent3"/>
              </w:rPr>
              <w:t xml:space="preserve">447 </w:t>
            </w:r>
            <w:r>
              <w:rPr>
                <w:color w:val="800080" w:themeColor="accent3"/>
              </w:rPr>
              <w:t>(-</w:t>
            </w:r>
            <w:r w:rsidR="007616FE">
              <w:rPr>
                <w:color w:val="800080" w:themeColor="accent3"/>
              </w:rPr>
              <w:t>30</w:t>
            </w:r>
            <w:r>
              <w:rPr>
                <w:color w:val="800080" w:themeColor="accent3"/>
              </w:rPr>
              <w:t>%)</w:t>
            </w:r>
          </w:p>
        </w:tc>
        <w:tc>
          <w:tcPr>
            <w:tcW w:w="1833" w:type="dxa"/>
          </w:tcPr>
          <w:p w14:paraId="455CF011" w14:textId="2F03F5C6" w:rsidR="00315E92" w:rsidRPr="00936B73" w:rsidRDefault="00EE4C07" w:rsidP="00315E92">
            <w:pPr>
              <w:pStyle w:val="TableText"/>
              <w:rPr>
                <w:color w:val="800080" w:themeColor="accent3"/>
              </w:rPr>
            </w:pPr>
            <w:r w:rsidRPr="00A23112">
              <w:rPr>
                <w:color w:val="800080" w:themeColor="accent3"/>
              </w:rPr>
              <w:t>N/A</w:t>
            </w:r>
          </w:p>
        </w:tc>
      </w:tr>
      <w:tr w:rsidR="00315E92" w:rsidRPr="00936B73" w14:paraId="1878009B" w14:textId="77777777" w:rsidTr="00BC4340">
        <w:trPr>
          <w:cantSplit/>
        </w:trPr>
        <w:tc>
          <w:tcPr>
            <w:tcW w:w="2600" w:type="dxa"/>
          </w:tcPr>
          <w:p w14:paraId="5D285B28" w14:textId="77777777" w:rsidR="00315E92" w:rsidRPr="00936B73" w:rsidRDefault="00315E92" w:rsidP="00315E92">
            <w:pPr>
              <w:pStyle w:val="TableText"/>
              <w:rPr>
                <w:color w:val="800080" w:themeColor="accent3"/>
              </w:rPr>
            </w:pPr>
            <w:r>
              <w:rPr>
                <w:color w:val="800080" w:themeColor="accent3"/>
              </w:rPr>
              <w:t>2045 Alternative 1</w:t>
            </w:r>
          </w:p>
        </w:tc>
        <w:tc>
          <w:tcPr>
            <w:tcW w:w="1050" w:type="dxa"/>
          </w:tcPr>
          <w:p w14:paraId="703DF634" w14:textId="6EF38401" w:rsidR="00315E92" w:rsidRPr="00936B73" w:rsidRDefault="00315E92" w:rsidP="00315E92">
            <w:pPr>
              <w:pStyle w:val="TableText"/>
              <w:rPr>
                <w:color w:val="800080" w:themeColor="accent3"/>
              </w:rPr>
            </w:pPr>
            <w:r>
              <w:rPr>
                <w:color w:val="800080" w:themeColor="accent3"/>
              </w:rPr>
              <w:t>5,106</w:t>
            </w:r>
          </w:p>
        </w:tc>
        <w:tc>
          <w:tcPr>
            <w:tcW w:w="1061" w:type="dxa"/>
          </w:tcPr>
          <w:p w14:paraId="0F4B623F" w14:textId="323380AA" w:rsidR="00315E92" w:rsidRPr="00766343" w:rsidRDefault="00315E92" w:rsidP="00315E92">
            <w:pPr>
              <w:pStyle w:val="TableText"/>
              <w:rPr>
                <w:color w:val="800080" w:themeColor="accent3"/>
              </w:rPr>
            </w:pPr>
            <w:r>
              <w:rPr>
                <w:color w:val="800080" w:themeColor="accent3"/>
              </w:rPr>
              <w:t>1,366</w:t>
            </w:r>
          </w:p>
        </w:tc>
        <w:tc>
          <w:tcPr>
            <w:tcW w:w="978" w:type="dxa"/>
          </w:tcPr>
          <w:p w14:paraId="58B698E7" w14:textId="37E07F1F" w:rsidR="00315E92" w:rsidRPr="00766343" w:rsidRDefault="00315E92" w:rsidP="00315E92">
            <w:pPr>
              <w:pStyle w:val="TableText"/>
              <w:rPr>
                <w:color w:val="800080" w:themeColor="accent3"/>
              </w:rPr>
            </w:pPr>
            <w:r>
              <w:rPr>
                <w:color w:val="800080" w:themeColor="accent3"/>
              </w:rPr>
              <w:t>866</w:t>
            </w:r>
          </w:p>
        </w:tc>
        <w:tc>
          <w:tcPr>
            <w:tcW w:w="1923" w:type="dxa"/>
          </w:tcPr>
          <w:p w14:paraId="141B1F94" w14:textId="6EB2F22F" w:rsidR="00315E92" w:rsidRPr="00936B73" w:rsidRDefault="00315E92" w:rsidP="00315E92">
            <w:pPr>
              <w:pStyle w:val="TableText"/>
              <w:rPr>
                <w:color w:val="800080" w:themeColor="accent3"/>
              </w:rPr>
            </w:pPr>
            <w:r w:rsidRPr="001E2924">
              <w:rPr>
                <w:color w:val="800080" w:themeColor="accent3"/>
              </w:rPr>
              <w:t>-623 (-42%)</w:t>
            </w:r>
          </w:p>
        </w:tc>
        <w:tc>
          <w:tcPr>
            <w:tcW w:w="1833" w:type="dxa"/>
          </w:tcPr>
          <w:p w14:paraId="6F973FD0" w14:textId="67A24467" w:rsidR="00315E92" w:rsidRPr="00936B73" w:rsidRDefault="007616FE" w:rsidP="00315E92">
            <w:pPr>
              <w:pStyle w:val="TableText"/>
              <w:rPr>
                <w:color w:val="800080" w:themeColor="accent3"/>
              </w:rPr>
            </w:pPr>
            <w:r>
              <w:rPr>
                <w:color w:val="800080" w:themeColor="accent3"/>
              </w:rPr>
              <w:t>-176</w:t>
            </w:r>
            <w:r w:rsidR="00315E92" w:rsidRPr="00CF3992">
              <w:rPr>
                <w:color w:val="800080" w:themeColor="accent3"/>
              </w:rPr>
              <w:t xml:space="preserve"> (</w:t>
            </w:r>
            <w:r w:rsidR="00C8659D">
              <w:rPr>
                <w:color w:val="800080" w:themeColor="accent3"/>
              </w:rPr>
              <w:t>-17</w:t>
            </w:r>
            <w:r w:rsidR="00315E92" w:rsidRPr="00CF3992">
              <w:rPr>
                <w:color w:val="800080" w:themeColor="accent3"/>
              </w:rPr>
              <w:t>%)</w:t>
            </w:r>
          </w:p>
        </w:tc>
      </w:tr>
      <w:tr w:rsidR="00315E92" w:rsidRPr="00936B73" w14:paraId="1653D9E2" w14:textId="77777777" w:rsidTr="00BC4340">
        <w:trPr>
          <w:cantSplit/>
        </w:trPr>
        <w:tc>
          <w:tcPr>
            <w:tcW w:w="2600" w:type="dxa"/>
          </w:tcPr>
          <w:p w14:paraId="4EBBFF78" w14:textId="77777777" w:rsidR="00315E92" w:rsidRPr="00936B73" w:rsidRDefault="00315E92" w:rsidP="00315E92">
            <w:pPr>
              <w:pStyle w:val="TableText"/>
              <w:rPr>
                <w:color w:val="800080" w:themeColor="accent3"/>
              </w:rPr>
            </w:pPr>
            <w:r>
              <w:rPr>
                <w:color w:val="800080" w:themeColor="accent3"/>
              </w:rPr>
              <w:t>2045 Alternative 2</w:t>
            </w:r>
          </w:p>
        </w:tc>
        <w:tc>
          <w:tcPr>
            <w:tcW w:w="1050" w:type="dxa"/>
          </w:tcPr>
          <w:p w14:paraId="1D446B2C" w14:textId="5F87A7A3" w:rsidR="00315E92" w:rsidRPr="00936B73" w:rsidRDefault="00315E92" w:rsidP="00315E92">
            <w:pPr>
              <w:pStyle w:val="TableText"/>
              <w:rPr>
                <w:color w:val="800080" w:themeColor="accent3"/>
              </w:rPr>
            </w:pPr>
            <w:r>
              <w:rPr>
                <w:color w:val="800080" w:themeColor="accent3"/>
              </w:rPr>
              <w:t>5,106</w:t>
            </w:r>
          </w:p>
        </w:tc>
        <w:tc>
          <w:tcPr>
            <w:tcW w:w="1061" w:type="dxa"/>
          </w:tcPr>
          <w:p w14:paraId="4DAE575D" w14:textId="45053A99" w:rsidR="00315E92" w:rsidRPr="0043054A" w:rsidRDefault="00315E92" w:rsidP="00315E92">
            <w:pPr>
              <w:pStyle w:val="TableText"/>
              <w:rPr>
                <w:color w:val="800080" w:themeColor="accent3"/>
              </w:rPr>
            </w:pPr>
            <w:r>
              <w:rPr>
                <w:color w:val="800080" w:themeColor="accent3"/>
              </w:rPr>
              <w:t>1,366</w:t>
            </w:r>
          </w:p>
        </w:tc>
        <w:tc>
          <w:tcPr>
            <w:tcW w:w="978" w:type="dxa"/>
          </w:tcPr>
          <w:p w14:paraId="1AE829A7" w14:textId="741DCA02" w:rsidR="00315E92" w:rsidRPr="0043054A" w:rsidRDefault="00315E92" w:rsidP="00315E92">
            <w:pPr>
              <w:pStyle w:val="TableText"/>
              <w:rPr>
                <w:color w:val="800080" w:themeColor="accent3"/>
              </w:rPr>
            </w:pPr>
            <w:r>
              <w:rPr>
                <w:color w:val="800080" w:themeColor="accent3"/>
              </w:rPr>
              <w:t>866</w:t>
            </w:r>
          </w:p>
        </w:tc>
        <w:tc>
          <w:tcPr>
            <w:tcW w:w="1923" w:type="dxa"/>
          </w:tcPr>
          <w:p w14:paraId="64D042E3" w14:textId="6201E158" w:rsidR="00315E92" w:rsidRPr="00936B73" w:rsidRDefault="00315E92" w:rsidP="00315E92">
            <w:pPr>
              <w:pStyle w:val="TableText"/>
              <w:rPr>
                <w:color w:val="800080" w:themeColor="accent3"/>
              </w:rPr>
            </w:pPr>
            <w:r w:rsidRPr="001E2924">
              <w:rPr>
                <w:color w:val="800080" w:themeColor="accent3"/>
              </w:rPr>
              <w:t>-623 (-42%)</w:t>
            </w:r>
          </w:p>
        </w:tc>
        <w:tc>
          <w:tcPr>
            <w:tcW w:w="1833" w:type="dxa"/>
          </w:tcPr>
          <w:p w14:paraId="24A2D861" w14:textId="12D94496" w:rsidR="00315E92" w:rsidRPr="00936B73" w:rsidRDefault="007616FE" w:rsidP="00315E92">
            <w:pPr>
              <w:pStyle w:val="TableText"/>
              <w:rPr>
                <w:color w:val="800080" w:themeColor="accent3"/>
              </w:rPr>
            </w:pPr>
            <w:r>
              <w:rPr>
                <w:color w:val="800080" w:themeColor="accent3"/>
              </w:rPr>
              <w:t>-176</w:t>
            </w:r>
            <w:r w:rsidR="00315E92" w:rsidRPr="00CF3992">
              <w:rPr>
                <w:color w:val="800080" w:themeColor="accent3"/>
              </w:rPr>
              <w:t xml:space="preserve"> (</w:t>
            </w:r>
            <w:r w:rsidR="00C8659D">
              <w:rPr>
                <w:color w:val="800080" w:themeColor="accent3"/>
              </w:rPr>
              <w:t>-17</w:t>
            </w:r>
            <w:r w:rsidR="00315E92" w:rsidRPr="00CF3992">
              <w:rPr>
                <w:color w:val="800080" w:themeColor="accent3"/>
              </w:rPr>
              <w:t>%)</w:t>
            </w:r>
          </w:p>
        </w:tc>
      </w:tr>
    </w:tbl>
    <w:p w14:paraId="29DA6202" w14:textId="2780B5A9" w:rsidR="00F438CF" w:rsidRDefault="00F438CF" w:rsidP="00F438CF">
      <w:pPr>
        <w:pStyle w:val="TableText"/>
        <w:rPr>
          <w:color w:val="800080" w:themeColor="accent3"/>
        </w:rPr>
      </w:pPr>
      <w:r w:rsidRPr="00936B73">
        <w:rPr>
          <w:color w:val="800080" w:themeColor="accent3"/>
        </w:rPr>
        <w:t xml:space="preserve">Source: </w:t>
      </w:r>
      <w:r>
        <w:rPr>
          <w:color w:val="800080" w:themeColor="accent3"/>
        </w:rPr>
        <w:t xml:space="preserve">CT-EMFAC2021; </w:t>
      </w:r>
      <w:r w:rsidR="00412315">
        <w:rPr>
          <w:color w:val="800080" w:themeColor="accent3"/>
        </w:rPr>
        <w:t>EIA</w:t>
      </w:r>
      <w:r w:rsidRPr="00EB7A0D">
        <w:rPr>
          <w:color w:val="800080" w:themeColor="accent3"/>
        </w:rPr>
        <w:t xml:space="preserve"> 2023</w:t>
      </w:r>
      <w:r w:rsidR="0019019B">
        <w:rPr>
          <w:color w:val="800080" w:themeColor="accent3"/>
        </w:rPr>
        <w:t>c</w:t>
      </w:r>
    </w:p>
    <w:p w14:paraId="0300D9C4" w14:textId="3428D89A" w:rsidR="00882C89" w:rsidRDefault="00D83258" w:rsidP="00C45818">
      <w:pPr>
        <w:spacing w:after="0"/>
        <w:rPr>
          <w:rFonts w:cs="Arial"/>
          <w:color w:val="800080" w:themeColor="accent3"/>
          <w:sz w:val="20"/>
        </w:rPr>
      </w:pPr>
      <w:r w:rsidRPr="00D83258">
        <w:rPr>
          <w:rFonts w:cs="Arial"/>
          <w:color w:val="800080" w:themeColor="accent3"/>
          <w:sz w:val="20"/>
        </w:rPr>
        <w:t>Note: Refer to Appendix C for the CalEEMod output</w:t>
      </w:r>
      <w:r w:rsidR="00C45818">
        <w:rPr>
          <w:rFonts w:cs="Arial"/>
          <w:color w:val="800080" w:themeColor="accent3"/>
          <w:sz w:val="20"/>
        </w:rPr>
        <w:t xml:space="preserve">; </w:t>
      </w:r>
      <w:r w:rsidR="00EE4C07" w:rsidRPr="00EE4C07">
        <w:rPr>
          <w:rFonts w:cs="Arial"/>
          <w:color w:val="800080" w:themeColor="accent3"/>
          <w:sz w:val="20"/>
        </w:rPr>
        <w:t>N/A</w:t>
      </w:r>
      <w:r w:rsidR="00EE4C07" w:rsidRPr="00EE4C07" w:rsidDel="00EE4C07">
        <w:rPr>
          <w:rFonts w:cs="Arial"/>
          <w:color w:val="800080" w:themeColor="accent3"/>
          <w:sz w:val="20"/>
        </w:rPr>
        <w:t xml:space="preserve"> </w:t>
      </w:r>
      <w:r w:rsidR="00F438CF" w:rsidRPr="00BC4340">
        <w:rPr>
          <w:rFonts w:cs="Arial"/>
          <w:color w:val="800080" w:themeColor="accent3"/>
          <w:sz w:val="20"/>
        </w:rPr>
        <w:t>= comparison not applicable</w:t>
      </w:r>
      <w:r w:rsidR="00C45818">
        <w:rPr>
          <w:rFonts w:cs="Arial"/>
          <w:color w:val="800080" w:themeColor="accent3"/>
          <w:sz w:val="20"/>
        </w:rPr>
        <w:t>.</w:t>
      </w:r>
    </w:p>
    <w:p w14:paraId="362BA97D" w14:textId="77777777" w:rsidR="00C45818" w:rsidRPr="008C2F14" w:rsidRDefault="00C45818" w:rsidP="00D65B32">
      <w:pPr>
        <w:spacing w:after="0"/>
        <w:rPr>
          <w:rFonts w:cs="Arial"/>
          <w:color w:val="800080" w:themeColor="accent3"/>
          <w:sz w:val="20"/>
        </w:rPr>
      </w:pPr>
    </w:p>
    <w:p w14:paraId="268C4E0D" w14:textId="7C8F259D" w:rsidR="00AD51C7" w:rsidRPr="00D83258" w:rsidRDefault="001F761F" w:rsidP="0099598E">
      <w:pPr>
        <w:rPr>
          <w:color w:val="800080" w:themeColor="accent3"/>
        </w:rPr>
      </w:pPr>
      <w:r w:rsidRPr="00D83258">
        <w:rPr>
          <w:color w:val="800080" w:themeColor="accent3"/>
        </w:rPr>
        <w:t xml:space="preserve">As shown in Table 4-6, implementation of either build alternative would </w:t>
      </w:r>
      <w:r w:rsidR="00C8659D">
        <w:rPr>
          <w:color w:val="800080" w:themeColor="accent3"/>
        </w:rPr>
        <w:t>reduce</w:t>
      </w:r>
      <w:r w:rsidRPr="00D83258">
        <w:rPr>
          <w:color w:val="800080" w:themeColor="accent3"/>
        </w:rPr>
        <w:t xml:space="preserve"> indirect maintenance energy compared to the No-Build Alternative</w:t>
      </w:r>
      <w:r w:rsidR="00B54030">
        <w:rPr>
          <w:color w:val="800080" w:themeColor="accent3"/>
        </w:rPr>
        <w:t xml:space="preserve"> and existing conditions</w:t>
      </w:r>
      <w:r w:rsidR="00851223" w:rsidRPr="00D83258">
        <w:rPr>
          <w:color w:val="800080" w:themeColor="accent3"/>
        </w:rPr>
        <w:t>.</w:t>
      </w:r>
      <w:r w:rsidR="00B54030">
        <w:rPr>
          <w:color w:val="800080" w:themeColor="accent3"/>
        </w:rPr>
        <w:t xml:space="preserve">  The No-Build Alternative would result in a slight reduction in maintenance energy compared to existing conditions. </w:t>
      </w:r>
      <w:r w:rsidR="00851223" w:rsidRPr="00D83258">
        <w:rPr>
          <w:color w:val="800080" w:themeColor="accent3"/>
        </w:rPr>
        <w:t xml:space="preserve"> </w:t>
      </w:r>
      <w:r w:rsidRPr="00D83258">
        <w:rPr>
          <w:color w:val="800080" w:themeColor="accent3"/>
        </w:rPr>
        <w:t xml:space="preserve">This is because newer and more fuel-efficient equipment and </w:t>
      </w:r>
      <w:r w:rsidRPr="00D83258">
        <w:rPr>
          <w:color w:val="800080" w:themeColor="accent3"/>
        </w:rPr>
        <w:lastRenderedPageBreak/>
        <w:t xml:space="preserve">vehicles, including zero-emissions vehicles, </w:t>
      </w:r>
      <w:r w:rsidRPr="00FD64C8">
        <w:rPr>
          <w:color w:val="800080" w:themeColor="accent3"/>
        </w:rPr>
        <w:t>will</w:t>
      </w:r>
      <w:r w:rsidRPr="00D83258">
        <w:rPr>
          <w:color w:val="800080" w:themeColor="accent3"/>
        </w:rPr>
        <w:t xml:space="preserve"> operate in the future</w:t>
      </w:r>
      <w:r w:rsidR="00077D43">
        <w:rPr>
          <w:color w:val="800080" w:themeColor="accent3"/>
        </w:rPr>
        <w:t xml:space="preserve"> due to </w:t>
      </w:r>
      <w:r w:rsidR="00077D43" w:rsidRPr="007315DB">
        <w:rPr>
          <w:color w:val="800080" w:themeColor="accent3"/>
        </w:rPr>
        <w:t>energy policies and legislation</w:t>
      </w:r>
      <w:r w:rsidR="00077D43">
        <w:rPr>
          <w:color w:val="800080" w:themeColor="accent3"/>
        </w:rPr>
        <w:t xml:space="preserve"> (refer to </w:t>
      </w:r>
      <w:r w:rsidR="00077D43" w:rsidRPr="007315DB">
        <w:rPr>
          <w:color w:val="800080" w:themeColor="accent3"/>
        </w:rPr>
        <w:t xml:space="preserve">Chapter 2, </w:t>
      </w:r>
      <w:r w:rsidR="00077D43" w:rsidRPr="007315DB">
        <w:rPr>
          <w:i/>
          <w:iCs/>
          <w:color w:val="800080" w:themeColor="accent3"/>
        </w:rPr>
        <w:t>Regulatory Setting</w:t>
      </w:r>
      <w:r w:rsidR="00077D43">
        <w:rPr>
          <w:color w:val="800080" w:themeColor="accent3"/>
        </w:rPr>
        <w:t>)</w:t>
      </w:r>
      <w:r w:rsidRPr="00D83258">
        <w:rPr>
          <w:color w:val="800080" w:themeColor="accent3"/>
        </w:rPr>
        <w:t xml:space="preserve">, resulting in an overall lower </w:t>
      </w:r>
      <w:r w:rsidR="006A5238">
        <w:rPr>
          <w:color w:val="800080" w:themeColor="accent3"/>
        </w:rPr>
        <w:t xml:space="preserve">intensity </w:t>
      </w:r>
      <w:r w:rsidRPr="00D83258">
        <w:rPr>
          <w:color w:val="800080" w:themeColor="accent3"/>
        </w:rPr>
        <w:t>of indirect energy for maintenance activit</w:t>
      </w:r>
      <w:r w:rsidR="00BC6BE5">
        <w:rPr>
          <w:color w:val="800080" w:themeColor="accent3"/>
        </w:rPr>
        <w:t>ies</w:t>
      </w:r>
      <w:r w:rsidRPr="00D83258">
        <w:rPr>
          <w:color w:val="800080" w:themeColor="accent3"/>
        </w:rPr>
        <w:t>.</w:t>
      </w:r>
      <w:r w:rsidR="00BC6BE5">
        <w:rPr>
          <w:color w:val="800080" w:themeColor="accent3"/>
        </w:rPr>
        <w:t xml:space="preserve">  This reduction </w:t>
      </w:r>
      <w:r w:rsidR="00945330">
        <w:rPr>
          <w:color w:val="800080" w:themeColor="accent3"/>
        </w:rPr>
        <w:t>offsets the increased frequency of maintenance that would occur under the No-Build Alternative, compared to existing conditions.</w:t>
      </w:r>
      <w:r w:rsidR="00D83258">
        <w:rPr>
          <w:color w:val="800080" w:themeColor="accent3"/>
        </w:rPr>
        <w:t xml:space="preserve"> </w:t>
      </w:r>
      <w:r w:rsidR="00945330">
        <w:rPr>
          <w:color w:val="800080" w:themeColor="accent3"/>
        </w:rPr>
        <w:t xml:space="preserve"> </w:t>
      </w:r>
      <w:r w:rsidR="00D83258">
        <w:rPr>
          <w:color w:val="800080" w:themeColor="accent3"/>
        </w:rPr>
        <w:t xml:space="preserve"> </w:t>
      </w:r>
      <w:r w:rsidR="00207B23" w:rsidRPr="00752C53">
        <w:rPr>
          <w:b/>
          <w:bCs/>
          <w:color w:val="0000FF" w:themeColor="accent1"/>
        </w:rPr>
        <w:t xml:space="preserve">[End </w:t>
      </w:r>
      <w:r w:rsidR="00207B23" w:rsidRPr="00207B23">
        <w:rPr>
          <w:b/>
          <w:bCs/>
          <w:color w:val="0000FF" w:themeColor="accent1"/>
        </w:rPr>
        <w:t>example</w:t>
      </w:r>
      <w:r w:rsidR="00207B23" w:rsidRPr="00752C53">
        <w:rPr>
          <w:b/>
          <w:bCs/>
          <w:color w:val="0000FF" w:themeColor="accent1"/>
        </w:rPr>
        <w:t>]</w:t>
      </w:r>
    </w:p>
    <w:p w14:paraId="294B30DF" w14:textId="796574C7" w:rsidR="00AD51C7" w:rsidRDefault="00AD51C7"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17713E" w14:textId="02B0F512" w:rsidR="00D83258" w:rsidRDefault="00D83258" w:rsidP="00D83258">
      <w:pPr>
        <w:pStyle w:val="Heading3"/>
      </w:pPr>
      <w:bookmarkStart w:id="149" w:name="_Toc150334798"/>
      <w:bookmarkStart w:id="150" w:name="_Toc157429595"/>
      <w:r>
        <w:t>Operations</w:t>
      </w:r>
      <w:bookmarkEnd w:id="149"/>
      <w:bookmarkEnd w:id="150"/>
    </w:p>
    <w:p w14:paraId="78602C44" w14:textId="77777777" w:rsidR="00D83258" w:rsidRDefault="00D83258" w:rsidP="00D83258">
      <w:pPr>
        <w:pStyle w:val="IntroGuidanceHeading1"/>
      </w:pPr>
      <w:r>
        <w:t>GUIDANCE</w:t>
      </w:r>
    </w:p>
    <w:p w14:paraId="1C8F1741" w14:textId="5CED8E5F" w:rsidR="00D83258" w:rsidRDefault="00D83258" w:rsidP="00D83258">
      <w:pPr>
        <w:rPr>
          <w:color w:val="0000FF" w:themeColor="accent1"/>
        </w:rPr>
      </w:pPr>
      <w:r w:rsidRPr="00A63FB4">
        <w:rPr>
          <w:color w:val="0000FF" w:themeColor="accent1"/>
        </w:rPr>
        <w:t xml:space="preserve">Generally, indirect energy from </w:t>
      </w:r>
      <w:r w:rsidR="00163FA2" w:rsidRPr="00163FA2">
        <w:rPr>
          <w:color w:val="0000FF" w:themeColor="accent1"/>
        </w:rPr>
        <w:t xml:space="preserve">project operations </w:t>
      </w:r>
      <w:r w:rsidRPr="00A63FB4">
        <w:rPr>
          <w:color w:val="0000FF" w:themeColor="accent1"/>
        </w:rPr>
        <w:t xml:space="preserve">can be discussed qualitatively.  </w:t>
      </w:r>
      <w:r>
        <w:rPr>
          <w:color w:val="0000FF" w:themeColor="accent1"/>
        </w:rPr>
        <w:t>If</w:t>
      </w:r>
      <w:r w:rsidR="006E05A2" w:rsidRPr="006E05A2">
        <w:rPr>
          <w:color w:val="0000FF" w:themeColor="accent1"/>
        </w:rPr>
        <w:t xml:space="preserve"> operational energy consumption is available or can be calculated</w:t>
      </w:r>
      <w:r w:rsidRPr="00470885">
        <w:rPr>
          <w:color w:val="0000FF" w:themeColor="accent1"/>
        </w:rPr>
        <w:t>,</w:t>
      </w:r>
      <w:r>
        <w:rPr>
          <w:color w:val="0000FF" w:themeColor="accent1"/>
        </w:rPr>
        <w:t xml:space="preserve"> indirect energy may be quantified. </w:t>
      </w:r>
    </w:p>
    <w:p w14:paraId="387BD77B" w14:textId="77777777" w:rsidR="00D83258" w:rsidRDefault="00D83258" w:rsidP="00D83258">
      <w:pPr>
        <w:pStyle w:val="IntroGuidanceHeading1"/>
      </w:pPr>
      <w:r>
        <w:t>GUIDANCE FOR QUALITATIVE ANALYSIS</w:t>
      </w:r>
    </w:p>
    <w:p w14:paraId="52E49C19" w14:textId="41615FC3" w:rsidR="00E1073B" w:rsidRDefault="00E1073B" w:rsidP="00D83258">
      <w:pPr>
        <w:rPr>
          <w:color w:val="0000FF" w:themeColor="accent1"/>
        </w:rPr>
      </w:pPr>
      <w:r w:rsidRPr="00E1073B">
        <w:rPr>
          <w:color w:val="0000FF" w:themeColor="accent1"/>
        </w:rPr>
        <w:t>Describe the sources of operational energy consumption under existing conditions and the build and no-build alternatives</w:t>
      </w:r>
      <w:r w:rsidR="00851223" w:rsidRPr="00E1073B">
        <w:rPr>
          <w:color w:val="0000FF" w:themeColor="accent1"/>
        </w:rPr>
        <w:t xml:space="preserve">.  </w:t>
      </w:r>
      <w:r w:rsidRPr="00E1073B">
        <w:rPr>
          <w:color w:val="0000FF" w:themeColor="accent1"/>
        </w:rPr>
        <w:t>These sources will often be limited to area lighting and traffic signals</w:t>
      </w:r>
      <w:r w:rsidR="00851223" w:rsidRPr="00E1073B">
        <w:rPr>
          <w:color w:val="0000FF" w:themeColor="accent1"/>
        </w:rPr>
        <w:t xml:space="preserve">.  </w:t>
      </w:r>
      <w:r w:rsidRPr="00E1073B">
        <w:rPr>
          <w:color w:val="0000FF" w:themeColor="accent1"/>
        </w:rPr>
        <w:t>Projects that propose new buildings (e.g., maintenance facility, parking structure) must discuss operational energy consumption associated with the facilities (e.g., electricity, natural gas).  Discuss project elements that would reduce operational fuel consumption and associated indirect energy</w:t>
      </w:r>
      <w:r w:rsidR="00851223" w:rsidRPr="00E1073B">
        <w:rPr>
          <w:color w:val="0000FF" w:themeColor="accent1"/>
        </w:rPr>
        <w:t xml:space="preserve">.  </w:t>
      </w:r>
      <w:r w:rsidRPr="00E1073B">
        <w:rPr>
          <w:color w:val="0000FF" w:themeColor="accent1"/>
        </w:rPr>
        <w:t>Consider the impact of future state regulations</w:t>
      </w:r>
      <w:r w:rsidR="00D83258" w:rsidRPr="00942B43">
        <w:rPr>
          <w:color w:val="0000FF" w:themeColor="accent1"/>
        </w:rPr>
        <w:t>.</w:t>
      </w:r>
    </w:p>
    <w:p w14:paraId="4F919F24" w14:textId="77777777" w:rsidR="00F56C3C" w:rsidRDefault="00F56C3C" w:rsidP="00F56C3C">
      <w:pPr>
        <w:rPr>
          <w:color w:val="800080" w:themeColor="accent3"/>
        </w:rPr>
      </w:pPr>
      <w:r>
        <w:rPr>
          <w:color w:val="0000FF" w:themeColor="accent1"/>
        </w:rPr>
        <w:t>The following is an example analysis.</w:t>
      </w:r>
      <w:r w:rsidRPr="006B3F76" w:rsidDel="007C79D3">
        <w:rPr>
          <w:color w:val="800080" w:themeColor="accent3"/>
        </w:rPr>
        <w:t xml:space="preserve"> </w:t>
      </w:r>
    </w:p>
    <w:p w14:paraId="0EAABADE" w14:textId="18C74956" w:rsidR="007B576A" w:rsidRPr="007B576A" w:rsidRDefault="007B576A" w:rsidP="007B576A">
      <w:pPr>
        <w:rPr>
          <w:color w:val="800080" w:themeColor="accent3"/>
        </w:rPr>
      </w:pPr>
      <w:r w:rsidRPr="007B576A">
        <w:rPr>
          <w:color w:val="800080" w:themeColor="accent3"/>
        </w:rPr>
        <w:t>Operation of traffic lights and street</w:t>
      </w:r>
      <w:r w:rsidR="00B50860">
        <w:rPr>
          <w:color w:val="800080" w:themeColor="accent3"/>
        </w:rPr>
        <w:t xml:space="preserve"> </w:t>
      </w:r>
      <w:r w:rsidRPr="007B576A">
        <w:rPr>
          <w:color w:val="800080" w:themeColor="accent3"/>
        </w:rPr>
        <w:t>lights consume</w:t>
      </w:r>
      <w:r w:rsidR="00127C30">
        <w:rPr>
          <w:color w:val="800080" w:themeColor="accent3"/>
        </w:rPr>
        <w:t>s</w:t>
      </w:r>
      <w:r w:rsidRPr="007B576A">
        <w:rPr>
          <w:color w:val="800080" w:themeColor="accent3"/>
        </w:rPr>
        <w:t xml:space="preserve"> electricity</w:t>
      </w:r>
      <w:r w:rsidR="00851223" w:rsidRPr="007B576A">
        <w:rPr>
          <w:color w:val="800080" w:themeColor="accent3"/>
        </w:rPr>
        <w:t xml:space="preserve">.  </w:t>
      </w:r>
      <w:r w:rsidRPr="007B576A">
        <w:rPr>
          <w:color w:val="800080" w:themeColor="accent3"/>
        </w:rPr>
        <w:t xml:space="preserve">These features are required to manage traffic and provide safe driving conditions.  Under either </w:t>
      </w:r>
      <w:r w:rsidR="00FF6B37">
        <w:rPr>
          <w:color w:val="800080" w:themeColor="accent3"/>
        </w:rPr>
        <w:t>b</w:t>
      </w:r>
      <w:r w:rsidRPr="007B576A">
        <w:rPr>
          <w:color w:val="800080" w:themeColor="accent3"/>
        </w:rPr>
        <w:t xml:space="preserve">uild </w:t>
      </w:r>
      <w:r w:rsidR="00FF6B37">
        <w:rPr>
          <w:color w:val="800080" w:themeColor="accent3"/>
        </w:rPr>
        <w:t>a</w:t>
      </w:r>
      <w:r w:rsidRPr="007B576A">
        <w:rPr>
          <w:color w:val="800080" w:themeColor="accent3"/>
        </w:rPr>
        <w:t>lternative, pedestrian-scale street</w:t>
      </w:r>
      <w:r w:rsidR="00FD3A33">
        <w:rPr>
          <w:color w:val="800080" w:themeColor="accent3"/>
        </w:rPr>
        <w:t xml:space="preserve"> </w:t>
      </w:r>
      <w:r w:rsidRPr="007B576A">
        <w:rPr>
          <w:color w:val="800080" w:themeColor="accent3"/>
        </w:rPr>
        <w:t>lighting would be replaced at four intersections.</w:t>
      </w:r>
      <w:r w:rsidR="00D93754">
        <w:rPr>
          <w:color w:val="800080" w:themeColor="accent3"/>
        </w:rPr>
        <w:t xml:space="preserve"> </w:t>
      </w:r>
      <w:r w:rsidRPr="007B576A">
        <w:rPr>
          <w:color w:val="800080" w:themeColor="accent3"/>
        </w:rPr>
        <w:t xml:space="preserve"> Additional street</w:t>
      </w:r>
      <w:r w:rsidR="00FD3A33">
        <w:rPr>
          <w:color w:val="800080" w:themeColor="accent3"/>
        </w:rPr>
        <w:t xml:space="preserve"> </w:t>
      </w:r>
      <w:r w:rsidRPr="007B576A">
        <w:rPr>
          <w:color w:val="800080" w:themeColor="accent3"/>
        </w:rPr>
        <w:t xml:space="preserve">lighting may require replacement wherever light poles require relocation, such as along Roadway E and Roadway </w:t>
      </w:r>
      <w:r w:rsidR="00851223" w:rsidRPr="007B576A">
        <w:rPr>
          <w:color w:val="800080" w:themeColor="accent3"/>
        </w:rPr>
        <w:t xml:space="preserve">F.  </w:t>
      </w:r>
      <w:r w:rsidRPr="007B576A">
        <w:rPr>
          <w:color w:val="800080" w:themeColor="accent3"/>
        </w:rPr>
        <w:t>Three new traffic signals would also be installed under either build alternative.</w:t>
      </w:r>
    </w:p>
    <w:p w14:paraId="02064C60" w14:textId="095B71D0" w:rsidR="00D83258" w:rsidRPr="007B576A" w:rsidRDefault="004F24C2" w:rsidP="007B576A">
      <w:pPr>
        <w:rPr>
          <w:color w:val="800080" w:themeColor="accent3"/>
        </w:rPr>
      </w:pPr>
      <w:r w:rsidRPr="004F24C2">
        <w:rPr>
          <w:color w:val="800080" w:themeColor="accent3"/>
        </w:rPr>
        <w:t>LED</w:t>
      </w:r>
      <w:r>
        <w:rPr>
          <w:color w:val="800080" w:themeColor="accent3"/>
        </w:rPr>
        <w:t xml:space="preserve"> fixtures</w:t>
      </w:r>
      <w:r w:rsidR="007B576A" w:rsidRPr="007B576A">
        <w:rPr>
          <w:color w:val="800080" w:themeColor="accent3"/>
        </w:rPr>
        <w:t xml:space="preserve"> would be used wherever street</w:t>
      </w:r>
      <w:r w:rsidR="003250A8">
        <w:rPr>
          <w:color w:val="800080" w:themeColor="accent3"/>
        </w:rPr>
        <w:t xml:space="preserve"> </w:t>
      </w:r>
      <w:r w:rsidR="007B576A" w:rsidRPr="007B576A">
        <w:rPr>
          <w:color w:val="800080" w:themeColor="accent3"/>
        </w:rPr>
        <w:t>lights are installed or replaced</w:t>
      </w:r>
      <w:r w:rsidR="00851223" w:rsidRPr="007B576A">
        <w:rPr>
          <w:color w:val="800080" w:themeColor="accent3"/>
        </w:rPr>
        <w:t xml:space="preserve">.  </w:t>
      </w:r>
      <w:r w:rsidR="007B576A" w:rsidRPr="007B576A">
        <w:rPr>
          <w:color w:val="800080" w:themeColor="accent3"/>
        </w:rPr>
        <w:t>LED street</w:t>
      </w:r>
      <w:r w:rsidR="00FD3A33">
        <w:rPr>
          <w:color w:val="800080" w:themeColor="accent3"/>
        </w:rPr>
        <w:t xml:space="preserve"> </w:t>
      </w:r>
      <w:r w:rsidR="007B576A" w:rsidRPr="007B576A">
        <w:rPr>
          <w:color w:val="800080" w:themeColor="accent3"/>
        </w:rPr>
        <w:t>lighting consumes up to 70% less energy per year as compared to incandescent bulbs (The Climate Group 2023)</w:t>
      </w:r>
      <w:r w:rsidR="00851223" w:rsidRPr="007B576A">
        <w:rPr>
          <w:color w:val="800080" w:themeColor="accent3"/>
        </w:rPr>
        <w:t xml:space="preserve">.  </w:t>
      </w:r>
      <w:r w:rsidR="007B576A" w:rsidRPr="007B576A">
        <w:rPr>
          <w:color w:val="800080" w:themeColor="accent3"/>
        </w:rPr>
        <w:t xml:space="preserve">All new traffic signals would likewise use LED bulbs, which reduce signal energy consumption by up to 80% (U.S. </w:t>
      </w:r>
      <w:r w:rsidR="003C00C9">
        <w:rPr>
          <w:color w:val="800080" w:themeColor="accent3"/>
        </w:rPr>
        <w:t>DOE</w:t>
      </w:r>
      <w:r w:rsidR="007B576A" w:rsidRPr="007B576A">
        <w:rPr>
          <w:color w:val="800080" w:themeColor="accent3"/>
        </w:rPr>
        <w:t xml:space="preserve"> 2004)</w:t>
      </w:r>
      <w:r w:rsidR="00851223" w:rsidRPr="007B576A">
        <w:rPr>
          <w:color w:val="800080" w:themeColor="accent3"/>
        </w:rPr>
        <w:t xml:space="preserve">.  </w:t>
      </w:r>
      <w:r w:rsidR="007B576A" w:rsidRPr="007B576A">
        <w:rPr>
          <w:color w:val="800080" w:themeColor="accent3"/>
        </w:rPr>
        <w:t>Under the No</w:t>
      </w:r>
      <w:r w:rsidR="00B840D4">
        <w:rPr>
          <w:color w:val="800080" w:themeColor="accent3"/>
        </w:rPr>
        <w:t>-</w:t>
      </w:r>
      <w:r w:rsidR="007B576A" w:rsidRPr="007B576A">
        <w:rPr>
          <w:color w:val="800080" w:themeColor="accent3"/>
        </w:rPr>
        <w:t>Build Alternative, less</w:t>
      </w:r>
      <w:r w:rsidR="00FF6B37">
        <w:rPr>
          <w:color w:val="800080" w:themeColor="accent3"/>
        </w:rPr>
        <w:t>-</w:t>
      </w:r>
      <w:r w:rsidR="007B576A" w:rsidRPr="007B576A">
        <w:rPr>
          <w:color w:val="800080" w:themeColor="accent3"/>
        </w:rPr>
        <w:t>efficient technology would continue to be used in area lighting for a longer period</w:t>
      </w:r>
      <w:r w:rsidR="00851223" w:rsidRPr="007B576A">
        <w:rPr>
          <w:color w:val="800080" w:themeColor="accent3"/>
        </w:rPr>
        <w:t xml:space="preserve">.  </w:t>
      </w:r>
      <w:r w:rsidR="007B576A" w:rsidRPr="007B576A">
        <w:rPr>
          <w:color w:val="800080" w:themeColor="accent3"/>
        </w:rPr>
        <w:t>Thus, despite the net increase in the number of street</w:t>
      </w:r>
      <w:r w:rsidR="00B50860">
        <w:rPr>
          <w:color w:val="800080" w:themeColor="accent3"/>
        </w:rPr>
        <w:t xml:space="preserve"> </w:t>
      </w:r>
      <w:r w:rsidR="007B576A" w:rsidRPr="007B576A">
        <w:rPr>
          <w:color w:val="800080" w:themeColor="accent3"/>
        </w:rPr>
        <w:t>lights and traffic signals, the project has been designed to conserve energy with LED fixtures, resulting in an overall lower consumption of indirect energy for the same amount of lighting</w:t>
      </w:r>
      <w:r w:rsidR="000A65F0" w:rsidRPr="007B576A">
        <w:rPr>
          <w:color w:val="800080" w:themeColor="accent3"/>
        </w:rPr>
        <w:t xml:space="preserve">.  </w:t>
      </w:r>
      <w:r w:rsidR="007B576A" w:rsidRPr="007B576A">
        <w:rPr>
          <w:color w:val="800080" w:themeColor="accent3"/>
        </w:rPr>
        <w:t>Compared to existing (202</w:t>
      </w:r>
      <w:r w:rsidR="00A80868">
        <w:rPr>
          <w:color w:val="800080" w:themeColor="accent3"/>
        </w:rPr>
        <w:t>3</w:t>
      </w:r>
      <w:r w:rsidR="007B576A" w:rsidRPr="007B576A">
        <w:rPr>
          <w:color w:val="800080" w:themeColor="accent3"/>
        </w:rPr>
        <w:t xml:space="preserve">) conditions, a greater </w:t>
      </w:r>
      <w:r w:rsidR="00E2021B" w:rsidRPr="00E2021B">
        <w:rPr>
          <w:color w:val="800080" w:themeColor="accent3"/>
        </w:rPr>
        <w:t xml:space="preserve">percentage </w:t>
      </w:r>
      <w:r w:rsidR="007B576A" w:rsidRPr="007B576A">
        <w:rPr>
          <w:color w:val="800080" w:themeColor="accent3"/>
        </w:rPr>
        <w:t>of electricity consumed by either build alternative or No</w:t>
      </w:r>
      <w:r w:rsidR="00B840D4">
        <w:rPr>
          <w:color w:val="800080" w:themeColor="accent3"/>
        </w:rPr>
        <w:t>-</w:t>
      </w:r>
      <w:r w:rsidR="007B576A" w:rsidRPr="007B576A">
        <w:rPr>
          <w:color w:val="800080" w:themeColor="accent3"/>
        </w:rPr>
        <w:t>Build Alternative under both future year conditions would be renewably sourced due to the state’s RPS</w:t>
      </w:r>
      <w:r w:rsidR="007B576A">
        <w:rPr>
          <w:color w:val="800080" w:themeColor="accent3"/>
        </w:rPr>
        <w:t xml:space="preserve"> (see Chapter 2, </w:t>
      </w:r>
      <w:r w:rsidR="007B576A" w:rsidRPr="00FD1673">
        <w:rPr>
          <w:i/>
          <w:iCs/>
          <w:color w:val="800080" w:themeColor="accent3"/>
        </w:rPr>
        <w:t>Regulatory Setting</w:t>
      </w:r>
      <w:r w:rsidR="007B576A">
        <w:rPr>
          <w:color w:val="800080" w:themeColor="accent3"/>
        </w:rPr>
        <w:t xml:space="preserve">, Section </w:t>
      </w:r>
      <w:r w:rsidR="00FD1673">
        <w:rPr>
          <w:color w:val="800080" w:themeColor="accent3"/>
        </w:rPr>
        <w:t xml:space="preserve">2.3.4, </w:t>
      </w:r>
      <w:r w:rsidR="00FD1673" w:rsidRPr="00FD1673">
        <w:rPr>
          <w:i/>
          <w:iCs/>
          <w:color w:val="800080" w:themeColor="accent3"/>
        </w:rPr>
        <w:t>Renewable Fuels and Electricity</w:t>
      </w:r>
      <w:r w:rsidR="00FD1673">
        <w:rPr>
          <w:color w:val="800080" w:themeColor="accent3"/>
        </w:rPr>
        <w:t>)</w:t>
      </w:r>
      <w:r w:rsidR="007B576A" w:rsidRPr="007B576A">
        <w:rPr>
          <w:color w:val="800080" w:themeColor="accent3"/>
        </w:rPr>
        <w:t>.</w:t>
      </w:r>
      <w:r w:rsidR="00207B23">
        <w:rPr>
          <w:color w:val="800080" w:themeColor="accent3"/>
        </w:rPr>
        <w:t xml:space="preserve">  </w:t>
      </w:r>
      <w:r w:rsidR="00207B23" w:rsidRPr="00752C53">
        <w:rPr>
          <w:b/>
          <w:bCs/>
          <w:color w:val="0000FF" w:themeColor="accent1"/>
        </w:rPr>
        <w:t xml:space="preserve">[End </w:t>
      </w:r>
      <w:r w:rsidR="00207B23" w:rsidRPr="00207B23">
        <w:rPr>
          <w:b/>
          <w:bCs/>
          <w:color w:val="0000FF" w:themeColor="accent1"/>
        </w:rPr>
        <w:t>example</w:t>
      </w:r>
      <w:r w:rsidR="00207B23" w:rsidRPr="00752C53">
        <w:rPr>
          <w:b/>
          <w:bCs/>
          <w:color w:val="0000FF" w:themeColor="accent1"/>
        </w:rPr>
        <w:t>]</w:t>
      </w:r>
    </w:p>
    <w:p w14:paraId="2C57F6F9" w14:textId="77777777" w:rsidR="00FD1673" w:rsidRPr="00612793" w:rsidRDefault="00FD1673" w:rsidP="00FD167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55AF0F" w14:textId="77777777" w:rsidR="002A1FEE" w:rsidRDefault="002A1FEE" w:rsidP="002A1FEE">
      <w:pPr>
        <w:pStyle w:val="IntroGuidanceHeading1"/>
      </w:pPr>
      <w:r>
        <w:lastRenderedPageBreak/>
        <w:t>GUIDANCE FOR QUANTITATIVE ANALYSIS</w:t>
      </w:r>
    </w:p>
    <w:p w14:paraId="32EDA715" w14:textId="1429DC62" w:rsidR="00B009D7" w:rsidRPr="00B009D7" w:rsidRDefault="00B009D7" w:rsidP="00B009D7">
      <w:pPr>
        <w:rPr>
          <w:color w:val="0000FF" w:themeColor="accent1"/>
        </w:rPr>
      </w:pPr>
      <w:r w:rsidRPr="00B009D7">
        <w:rPr>
          <w:color w:val="0000FF" w:themeColor="accent1"/>
        </w:rPr>
        <w:t>If operational energy consumption is available or can be calculated, present the estimate and describe the approach used to quantify indirect energy</w:t>
      </w:r>
      <w:r w:rsidR="000A65F0" w:rsidRPr="00B009D7">
        <w:rPr>
          <w:color w:val="0000FF" w:themeColor="accent1"/>
        </w:rPr>
        <w:t xml:space="preserve">.  </w:t>
      </w:r>
      <w:r w:rsidRPr="00B009D7">
        <w:rPr>
          <w:color w:val="0000FF" w:themeColor="accent1"/>
        </w:rPr>
        <w:t>Electricity consumption for street</w:t>
      </w:r>
      <w:r w:rsidR="00B50860">
        <w:rPr>
          <w:color w:val="0000FF" w:themeColor="accent1"/>
        </w:rPr>
        <w:t xml:space="preserve"> </w:t>
      </w:r>
      <w:r w:rsidRPr="00B009D7">
        <w:rPr>
          <w:color w:val="0000FF" w:themeColor="accent1"/>
        </w:rPr>
        <w:t>lights and traffic signals may be available from the project engineering team or may be calculated based on the number of fixtures, bulb wattage, and daily operating hours</w:t>
      </w:r>
      <w:r w:rsidR="000A65F0" w:rsidRPr="00B009D7">
        <w:rPr>
          <w:color w:val="0000FF" w:themeColor="accent1"/>
        </w:rPr>
        <w:t xml:space="preserve">.  </w:t>
      </w:r>
      <w:r w:rsidRPr="00B009D7">
        <w:rPr>
          <w:color w:val="0000FF" w:themeColor="accent1"/>
        </w:rPr>
        <w:t>Operational energy use by new buildings may be estimated using CalEEMod default energy intensities for the proposed land use types or reasonable proxy land use types (e.g., an “unrefrigerated warehouse – no rail” may be appropriate to characterize a new maintenance facility)</w:t>
      </w:r>
      <w:r w:rsidR="000A65F0" w:rsidRPr="00B009D7">
        <w:rPr>
          <w:color w:val="0000FF" w:themeColor="accent1"/>
        </w:rPr>
        <w:t xml:space="preserve">.  </w:t>
      </w:r>
      <w:r w:rsidRPr="00B009D7">
        <w:rPr>
          <w:color w:val="0000FF" w:themeColor="accent1"/>
        </w:rPr>
        <w:t xml:space="preserve">CalEEMod model outputs may be obtained from the project GHG analysis or AQR. </w:t>
      </w:r>
    </w:p>
    <w:p w14:paraId="622F8F91" w14:textId="77777777" w:rsidR="00B009D7" w:rsidRPr="00B009D7" w:rsidRDefault="00B009D7" w:rsidP="00B009D7">
      <w:pPr>
        <w:rPr>
          <w:color w:val="0000FF" w:themeColor="accent1"/>
        </w:rPr>
      </w:pPr>
      <w:r w:rsidRPr="00B009D7">
        <w:rPr>
          <w:color w:val="0000FF" w:themeColor="accent1"/>
        </w:rPr>
        <w:t xml:space="preserve">Convert the quantified fuel consumption into equivalent BTU using the factors provided in Table 4-1 in Section 4.1, </w:t>
      </w:r>
      <w:r w:rsidRPr="00B009D7">
        <w:rPr>
          <w:i/>
          <w:iCs/>
          <w:color w:val="0000FF" w:themeColor="accent1"/>
        </w:rPr>
        <w:t>Introduction</w:t>
      </w:r>
      <w:r w:rsidRPr="00B009D7">
        <w:rPr>
          <w:color w:val="0000FF" w:themeColor="accent1"/>
        </w:rPr>
        <w:t xml:space="preserve">. </w:t>
      </w:r>
    </w:p>
    <w:p w14:paraId="3F74D8E0" w14:textId="0E59E462" w:rsidR="00B009D7" w:rsidRDefault="00B009D7" w:rsidP="00B009D7">
      <w:pPr>
        <w:rPr>
          <w:color w:val="0000FF" w:themeColor="accent1"/>
        </w:rPr>
      </w:pPr>
      <w:r w:rsidRPr="00B009D7">
        <w:rPr>
          <w:color w:val="0000FF" w:themeColor="accent1"/>
        </w:rPr>
        <w:t>Document the fuel consumption and indirect energy in summary tables</w:t>
      </w:r>
      <w:r w:rsidR="000A65F0" w:rsidRPr="00B009D7">
        <w:rPr>
          <w:color w:val="0000FF" w:themeColor="accent1"/>
        </w:rPr>
        <w:t xml:space="preserve">.  </w:t>
      </w:r>
      <w:r w:rsidRPr="00B009D7">
        <w:rPr>
          <w:color w:val="0000FF" w:themeColor="accent1"/>
        </w:rPr>
        <w:t>Model outputs should be provided in an appendix</w:t>
      </w:r>
      <w:r w:rsidR="000A65F0" w:rsidRPr="00B009D7">
        <w:rPr>
          <w:color w:val="0000FF" w:themeColor="accent1"/>
        </w:rPr>
        <w:t xml:space="preserve">.  </w:t>
      </w:r>
      <w:r w:rsidRPr="00B009D7">
        <w:rPr>
          <w:color w:val="0000FF" w:themeColor="accent1"/>
        </w:rPr>
        <w:t>Compare indirect energy among the build alternative(s) and No-Build Alternative and existing conditions</w:t>
      </w:r>
      <w:r w:rsidR="000A65F0" w:rsidRPr="00B009D7">
        <w:rPr>
          <w:color w:val="0000FF" w:themeColor="accent1"/>
        </w:rPr>
        <w:t xml:space="preserve">.  </w:t>
      </w:r>
      <w:r w:rsidRPr="00B009D7">
        <w:rPr>
          <w:color w:val="0000FF" w:themeColor="accent1"/>
        </w:rPr>
        <w:t>Discuss energy-saving or conservation measures that have been incorporated into the project design</w:t>
      </w:r>
      <w:r w:rsidR="000A65F0" w:rsidRPr="00B009D7">
        <w:rPr>
          <w:color w:val="0000FF" w:themeColor="accent1"/>
        </w:rPr>
        <w:t xml:space="preserve">.  </w:t>
      </w:r>
      <w:r w:rsidRPr="00B009D7">
        <w:rPr>
          <w:color w:val="0000FF" w:themeColor="accent1"/>
        </w:rPr>
        <w:t>Consider the impact of future state regulations</w:t>
      </w:r>
      <w:r w:rsidR="002A1FEE" w:rsidRPr="00C93CE3">
        <w:rPr>
          <w:color w:val="0000FF" w:themeColor="accent1"/>
        </w:rPr>
        <w:t>.</w:t>
      </w:r>
    </w:p>
    <w:p w14:paraId="2D598036" w14:textId="001616FB" w:rsidR="00F56C3C" w:rsidRDefault="00F56C3C" w:rsidP="00F56C3C">
      <w:pPr>
        <w:rPr>
          <w:color w:val="800080" w:themeColor="accent3"/>
        </w:rPr>
      </w:pPr>
      <w:r>
        <w:rPr>
          <w:color w:val="0000FF" w:themeColor="accent1"/>
        </w:rPr>
        <w:t>The following is an example analysis.</w:t>
      </w:r>
      <w:r w:rsidRPr="006B3F76" w:rsidDel="007C79D3">
        <w:rPr>
          <w:color w:val="800080" w:themeColor="accent3"/>
        </w:rPr>
        <w:t xml:space="preserve"> </w:t>
      </w:r>
      <w:r w:rsidR="00FF0BFE">
        <w:rPr>
          <w:color w:val="800080" w:themeColor="accent3"/>
        </w:rPr>
        <w:t xml:space="preserve"> </w:t>
      </w:r>
      <w:r w:rsidR="00FF0BFE">
        <w:rPr>
          <w:color w:val="0000FF" w:themeColor="accent1"/>
        </w:rPr>
        <w:t>Note that example numeric results are provided in the tables but not in the narrative text.</w:t>
      </w:r>
    </w:p>
    <w:p w14:paraId="322513E0" w14:textId="24F84856" w:rsidR="00207B23" w:rsidRPr="00207B23" w:rsidRDefault="00207B23" w:rsidP="00207B23">
      <w:pPr>
        <w:rPr>
          <w:color w:val="800080" w:themeColor="accent3"/>
        </w:rPr>
      </w:pPr>
      <w:r w:rsidRPr="00207B23">
        <w:rPr>
          <w:color w:val="800080" w:themeColor="accent3"/>
        </w:rPr>
        <w:t xml:space="preserve">Operation of </w:t>
      </w:r>
      <w:bookmarkStart w:id="151" w:name="_Hlk149028912"/>
      <w:r w:rsidRPr="00207B23">
        <w:rPr>
          <w:color w:val="800080" w:themeColor="accent3"/>
        </w:rPr>
        <w:t>traffic lights and street</w:t>
      </w:r>
      <w:r w:rsidR="00B50860">
        <w:rPr>
          <w:color w:val="800080" w:themeColor="accent3"/>
        </w:rPr>
        <w:t xml:space="preserve"> </w:t>
      </w:r>
      <w:r w:rsidRPr="00207B23">
        <w:rPr>
          <w:color w:val="800080" w:themeColor="accent3"/>
        </w:rPr>
        <w:t>lights consume indirect electricity</w:t>
      </w:r>
      <w:bookmarkEnd w:id="151"/>
      <w:r w:rsidR="000A65F0" w:rsidRPr="00207B23">
        <w:rPr>
          <w:color w:val="800080" w:themeColor="accent3"/>
        </w:rPr>
        <w:t xml:space="preserve">.  </w:t>
      </w:r>
      <w:r w:rsidRPr="00207B23">
        <w:rPr>
          <w:color w:val="800080" w:themeColor="accent3"/>
        </w:rPr>
        <w:t>These features are required to manage traffic and provide safe driving conditions.  Under either build alternative, pedestrian-scale street</w:t>
      </w:r>
      <w:r w:rsidR="00FD3A33">
        <w:rPr>
          <w:color w:val="800080" w:themeColor="accent3"/>
        </w:rPr>
        <w:t xml:space="preserve"> </w:t>
      </w:r>
      <w:r w:rsidRPr="00207B23">
        <w:rPr>
          <w:color w:val="800080" w:themeColor="accent3"/>
        </w:rPr>
        <w:t>lighting would be replaced at four intersections.</w:t>
      </w:r>
      <w:r w:rsidR="007C79D3">
        <w:rPr>
          <w:color w:val="800080" w:themeColor="accent3"/>
        </w:rPr>
        <w:t xml:space="preserve"> </w:t>
      </w:r>
      <w:r w:rsidRPr="00207B23">
        <w:rPr>
          <w:color w:val="800080" w:themeColor="accent3"/>
        </w:rPr>
        <w:t xml:space="preserve"> Three new traffic signals would also be installed under either build alternative.</w:t>
      </w:r>
    </w:p>
    <w:p w14:paraId="537842C7" w14:textId="017634BF" w:rsidR="00207B23" w:rsidRPr="00207B23" w:rsidRDefault="00207B23" w:rsidP="00207B23">
      <w:pPr>
        <w:rPr>
          <w:color w:val="800080" w:themeColor="accent3"/>
        </w:rPr>
      </w:pPr>
      <w:r w:rsidRPr="00207B23">
        <w:rPr>
          <w:color w:val="800080" w:themeColor="accent3"/>
        </w:rPr>
        <w:t>Annual electricity consumption for new and replaced street</w:t>
      </w:r>
      <w:r w:rsidR="00B50860">
        <w:rPr>
          <w:color w:val="800080" w:themeColor="accent3"/>
        </w:rPr>
        <w:t xml:space="preserve"> </w:t>
      </w:r>
      <w:r w:rsidRPr="00207B23">
        <w:rPr>
          <w:color w:val="800080" w:themeColor="accent3"/>
        </w:rPr>
        <w:t>lights and traffic signals was provided by the project engineering team</w:t>
      </w:r>
      <w:r w:rsidR="000A65F0" w:rsidRPr="00207B23">
        <w:rPr>
          <w:color w:val="800080" w:themeColor="accent3"/>
        </w:rPr>
        <w:t xml:space="preserve">.  </w:t>
      </w:r>
      <w:r w:rsidRPr="00207B23">
        <w:rPr>
          <w:color w:val="800080" w:themeColor="accent3"/>
        </w:rPr>
        <w:t>The estimates were converted to BTU using the electricity heat content value shown in Table 4-1</w:t>
      </w:r>
      <w:r w:rsidR="000A65F0" w:rsidRPr="00207B23">
        <w:rPr>
          <w:color w:val="800080" w:themeColor="accent3"/>
        </w:rPr>
        <w:t xml:space="preserve">.  </w:t>
      </w:r>
      <w:r w:rsidRPr="00207B23">
        <w:rPr>
          <w:color w:val="800080" w:themeColor="accent3"/>
        </w:rPr>
        <w:t>Table 4</w:t>
      </w:r>
      <w:r>
        <w:rPr>
          <w:color w:val="800080" w:themeColor="accent3"/>
        </w:rPr>
        <w:t>-7</w:t>
      </w:r>
      <w:r w:rsidRPr="00207B23">
        <w:rPr>
          <w:color w:val="800080" w:themeColor="accent3"/>
        </w:rPr>
        <w:t xml:space="preserve"> summarizes the electricity estimates and indirect energy required for operations.</w:t>
      </w:r>
      <w:r w:rsidR="00F477C5">
        <w:rPr>
          <w:color w:val="800080" w:themeColor="accent3"/>
        </w:rPr>
        <w:t xml:space="preserve"> </w:t>
      </w:r>
      <w:r w:rsidR="00DD4C5F">
        <w:rPr>
          <w:color w:val="800080" w:themeColor="accent3"/>
        </w:rPr>
        <w:t xml:space="preserve"> </w:t>
      </w:r>
      <w:r w:rsidR="009C0430" w:rsidRPr="009C0430">
        <w:rPr>
          <w:color w:val="800080" w:themeColor="accent3"/>
        </w:rPr>
        <w:t xml:space="preserve">The energy values shown in </w:t>
      </w:r>
      <w:r w:rsidR="008F1784">
        <w:rPr>
          <w:color w:val="800080" w:themeColor="accent3"/>
        </w:rPr>
        <w:t>Table 4-7</w:t>
      </w:r>
      <w:r w:rsidR="009C0430" w:rsidRPr="009C0430">
        <w:rPr>
          <w:color w:val="800080" w:themeColor="accent3"/>
        </w:rPr>
        <w:t xml:space="preserve"> for existing conditions and the No-Build Alternative are for operation of the existing street</w:t>
      </w:r>
      <w:r w:rsidR="00B50860">
        <w:rPr>
          <w:color w:val="800080" w:themeColor="accent3"/>
        </w:rPr>
        <w:t xml:space="preserve"> </w:t>
      </w:r>
      <w:r w:rsidR="009C0430" w:rsidRPr="009C0430">
        <w:rPr>
          <w:color w:val="800080" w:themeColor="accent3"/>
        </w:rPr>
        <w:t>lights</w:t>
      </w:r>
      <w:r w:rsidR="00F94684" w:rsidRPr="009C0430">
        <w:rPr>
          <w:color w:val="800080" w:themeColor="accent3"/>
        </w:rPr>
        <w:t xml:space="preserve">.  </w:t>
      </w:r>
      <w:r w:rsidR="009C0430" w:rsidRPr="009C0430">
        <w:rPr>
          <w:color w:val="800080" w:themeColor="accent3"/>
        </w:rPr>
        <w:t xml:space="preserve">The energy values for Alternatives 1 </w:t>
      </w:r>
      <w:r w:rsidR="00AB70A9">
        <w:rPr>
          <w:color w:val="800080" w:themeColor="accent3"/>
        </w:rPr>
        <w:t>and</w:t>
      </w:r>
      <w:r w:rsidR="00AB70A9" w:rsidRPr="009C0430">
        <w:rPr>
          <w:color w:val="800080" w:themeColor="accent3"/>
        </w:rPr>
        <w:t xml:space="preserve"> </w:t>
      </w:r>
      <w:r w:rsidR="009C0430" w:rsidRPr="009C0430">
        <w:rPr>
          <w:color w:val="800080" w:themeColor="accent3"/>
        </w:rPr>
        <w:t>2 are for operation of the replaced street</w:t>
      </w:r>
      <w:r w:rsidR="00B50860">
        <w:rPr>
          <w:color w:val="800080" w:themeColor="accent3"/>
        </w:rPr>
        <w:t xml:space="preserve"> </w:t>
      </w:r>
      <w:r w:rsidR="009C0430" w:rsidRPr="009C0430">
        <w:rPr>
          <w:color w:val="800080" w:themeColor="accent3"/>
        </w:rPr>
        <w:t>lights and three new traffic signals.</w:t>
      </w:r>
    </w:p>
    <w:p w14:paraId="178D68E0" w14:textId="51224857" w:rsidR="00207B23" w:rsidRPr="00936B73" w:rsidRDefault="004F24C2" w:rsidP="00207B23">
      <w:pPr>
        <w:pStyle w:val="TableTitle"/>
        <w:rPr>
          <w:color w:val="800080" w:themeColor="accent3"/>
        </w:rPr>
      </w:pPr>
      <w:bookmarkStart w:id="152" w:name="_Toc157429615"/>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sidRPr="004F24C2">
        <w:rPr>
          <w:color w:val="800080" w:themeColor="accent3"/>
        </w:rPr>
        <w:fldChar w:fldCharType="begin"/>
      </w:r>
      <w:r w:rsidRPr="004F24C2">
        <w:rPr>
          <w:color w:val="800080" w:themeColor="accent3"/>
        </w:rPr>
        <w:instrText xml:space="preserve"> SEQ Table \* ARABIC \s 1 </w:instrText>
      </w:r>
      <w:r w:rsidRPr="004F24C2">
        <w:rPr>
          <w:color w:val="800080" w:themeColor="accent3"/>
        </w:rPr>
        <w:fldChar w:fldCharType="separate"/>
      </w:r>
      <w:r>
        <w:rPr>
          <w:noProof/>
          <w:color w:val="800080" w:themeColor="accent3"/>
        </w:rPr>
        <w:t>7</w:t>
      </w:r>
      <w:r w:rsidRPr="004F24C2">
        <w:rPr>
          <w:noProof/>
          <w:color w:val="800080" w:themeColor="accent3"/>
        </w:rPr>
        <w:fldChar w:fldCharType="end"/>
      </w:r>
      <w:r w:rsidRPr="004F24C2">
        <w:rPr>
          <w:color w:val="800080" w:themeColor="accent3"/>
        </w:rPr>
        <w:t xml:space="preserve">: </w:t>
      </w:r>
      <w:r w:rsidR="00D871BC" w:rsidRPr="00D871BC">
        <w:rPr>
          <w:color w:val="800080" w:themeColor="accent3"/>
        </w:rPr>
        <w:t>Annual Operational Electricity Consumption and Indirect Energy by Alternative and Study Year</w:t>
      </w:r>
      <w:bookmarkEnd w:id="152"/>
    </w:p>
    <w:tbl>
      <w:tblPr>
        <w:tblStyle w:val="TableGrid"/>
        <w:tblW w:w="9625" w:type="dxa"/>
        <w:tblLook w:val="0020" w:firstRow="1" w:lastRow="0" w:firstColumn="0" w:lastColumn="0" w:noHBand="0" w:noVBand="0"/>
        <w:tblCaption w:val="Annual Operational Electricity Consumption and Indirect Energy by Alternative and Study Year"/>
        <w:tblDescription w:val="A table with example results for operations diesel, gasoline, and indirect energy consumption, and the change in indirect energy from 2023 existing conditions and no-build conditions for each alternative and study year."/>
      </w:tblPr>
      <w:tblGrid>
        <w:gridCol w:w="2911"/>
        <w:gridCol w:w="1173"/>
        <w:gridCol w:w="1491"/>
        <w:gridCol w:w="2160"/>
        <w:gridCol w:w="1890"/>
      </w:tblGrid>
      <w:tr w:rsidR="001A6A16" w:rsidRPr="00936B73" w14:paraId="3F6F534A" w14:textId="77777777" w:rsidTr="00EA3498">
        <w:trPr>
          <w:cantSplit/>
          <w:trHeight w:val="782"/>
        </w:trPr>
        <w:tc>
          <w:tcPr>
            <w:tcW w:w="2911" w:type="dxa"/>
          </w:tcPr>
          <w:p w14:paraId="26FD11A6" w14:textId="77777777" w:rsidR="001A6A16" w:rsidRPr="00936B73" w:rsidRDefault="001A6A16" w:rsidP="00E2161A">
            <w:pPr>
              <w:pStyle w:val="TableHeading"/>
              <w:rPr>
                <w:color w:val="800080" w:themeColor="accent3"/>
              </w:rPr>
            </w:pPr>
            <w:r>
              <w:rPr>
                <w:color w:val="800080" w:themeColor="accent3"/>
              </w:rPr>
              <w:t>Alternative and Study Year</w:t>
            </w:r>
          </w:p>
        </w:tc>
        <w:tc>
          <w:tcPr>
            <w:tcW w:w="1173" w:type="dxa"/>
          </w:tcPr>
          <w:p w14:paraId="2F410F0B" w14:textId="44C540EA" w:rsidR="001A6A16" w:rsidRDefault="00EA3498" w:rsidP="00E2161A">
            <w:pPr>
              <w:pStyle w:val="TableHeading"/>
              <w:rPr>
                <w:color w:val="800080" w:themeColor="accent3"/>
              </w:rPr>
            </w:pPr>
            <w:r w:rsidRPr="00EA3498">
              <w:rPr>
                <w:color w:val="800080" w:themeColor="accent3"/>
              </w:rPr>
              <w:t>Electricity (kWh)</w:t>
            </w:r>
          </w:p>
        </w:tc>
        <w:tc>
          <w:tcPr>
            <w:tcW w:w="1491" w:type="dxa"/>
          </w:tcPr>
          <w:p w14:paraId="6DEAD8D5" w14:textId="77777777" w:rsidR="001A6A16" w:rsidRDefault="001A6A16" w:rsidP="00E2161A">
            <w:pPr>
              <w:pStyle w:val="TableHeading"/>
              <w:rPr>
                <w:color w:val="800080" w:themeColor="accent3"/>
              </w:rPr>
            </w:pPr>
            <w:r>
              <w:rPr>
                <w:color w:val="800080" w:themeColor="accent3"/>
              </w:rPr>
              <w:t>Indirect</w:t>
            </w:r>
            <w:r w:rsidRPr="00BB3877">
              <w:rPr>
                <w:color w:val="800080" w:themeColor="accent3"/>
              </w:rPr>
              <w:t xml:space="preserve"> Energy (million BTU)</w:t>
            </w:r>
          </w:p>
        </w:tc>
        <w:tc>
          <w:tcPr>
            <w:tcW w:w="2160" w:type="dxa"/>
          </w:tcPr>
          <w:p w14:paraId="658D5A4A" w14:textId="660844EA" w:rsidR="001A6A16" w:rsidRPr="00936B73" w:rsidRDefault="001A6A16" w:rsidP="00E2161A">
            <w:pPr>
              <w:pStyle w:val="TableHeading"/>
              <w:rPr>
                <w:color w:val="800080" w:themeColor="accent3"/>
              </w:rPr>
            </w:pPr>
            <w:r>
              <w:rPr>
                <w:color w:val="800080" w:themeColor="accent3"/>
              </w:rPr>
              <w:t>Indirect Energy Change from 202</w:t>
            </w:r>
            <w:r w:rsidR="00A80868">
              <w:rPr>
                <w:color w:val="800080" w:themeColor="accent3"/>
              </w:rPr>
              <w:t>3</w:t>
            </w:r>
            <w:r>
              <w:rPr>
                <w:color w:val="800080" w:themeColor="accent3"/>
              </w:rPr>
              <w:t xml:space="preserve"> Existing (% Change)</w:t>
            </w:r>
          </w:p>
        </w:tc>
        <w:tc>
          <w:tcPr>
            <w:tcW w:w="1890" w:type="dxa"/>
          </w:tcPr>
          <w:p w14:paraId="7ACDACE9" w14:textId="77777777" w:rsidR="001A6A16" w:rsidRPr="00936B73" w:rsidRDefault="001A6A16" w:rsidP="00E2161A">
            <w:pPr>
              <w:pStyle w:val="TableHeading"/>
              <w:rPr>
                <w:color w:val="800080" w:themeColor="accent3"/>
              </w:rPr>
            </w:pPr>
            <w:r>
              <w:rPr>
                <w:color w:val="800080" w:themeColor="accent3"/>
              </w:rPr>
              <w:t>Indirect Energy Change from No-Build (% Change)</w:t>
            </w:r>
          </w:p>
        </w:tc>
      </w:tr>
      <w:tr w:rsidR="001A6A16" w:rsidRPr="00936B73" w14:paraId="0ECB17CB" w14:textId="77777777" w:rsidTr="00EA3498">
        <w:trPr>
          <w:cantSplit/>
          <w:trHeight w:val="287"/>
        </w:trPr>
        <w:tc>
          <w:tcPr>
            <w:tcW w:w="2911" w:type="dxa"/>
          </w:tcPr>
          <w:p w14:paraId="2CDB2669" w14:textId="77962278" w:rsidR="001A6A16" w:rsidRPr="00EA3498" w:rsidRDefault="001A6A16" w:rsidP="00E2161A">
            <w:pPr>
              <w:pStyle w:val="TableText"/>
              <w:rPr>
                <w:color w:val="800080" w:themeColor="accent3"/>
                <w:vertAlign w:val="superscript"/>
              </w:rPr>
            </w:pPr>
            <w:r>
              <w:rPr>
                <w:color w:val="800080" w:themeColor="accent3"/>
              </w:rPr>
              <w:t>202</w:t>
            </w:r>
            <w:r w:rsidR="00A80868">
              <w:rPr>
                <w:color w:val="800080" w:themeColor="accent3"/>
              </w:rPr>
              <w:t>3</w:t>
            </w:r>
            <w:r>
              <w:rPr>
                <w:color w:val="800080" w:themeColor="accent3"/>
              </w:rPr>
              <w:t xml:space="preserve"> Existing Conditions</w:t>
            </w:r>
            <w:r w:rsidR="00EA3498">
              <w:rPr>
                <w:color w:val="800080" w:themeColor="accent3"/>
              </w:rPr>
              <w:t xml:space="preserve"> </w:t>
            </w:r>
          </w:p>
        </w:tc>
        <w:tc>
          <w:tcPr>
            <w:tcW w:w="1173" w:type="dxa"/>
          </w:tcPr>
          <w:p w14:paraId="0C4DD4B4" w14:textId="08C8D6F6" w:rsidR="001A6A16" w:rsidRPr="0009707A" w:rsidRDefault="00EA3498" w:rsidP="00E2161A">
            <w:pPr>
              <w:pStyle w:val="TableText"/>
              <w:rPr>
                <w:color w:val="800080" w:themeColor="accent3"/>
              </w:rPr>
            </w:pPr>
            <w:r>
              <w:rPr>
                <w:color w:val="800080" w:themeColor="accent3"/>
              </w:rPr>
              <w:t>2,383</w:t>
            </w:r>
          </w:p>
        </w:tc>
        <w:tc>
          <w:tcPr>
            <w:tcW w:w="1491" w:type="dxa"/>
          </w:tcPr>
          <w:p w14:paraId="20E5A208" w14:textId="3F9A57BB" w:rsidR="00EA3498" w:rsidRPr="0009707A" w:rsidRDefault="00EA3498" w:rsidP="00E2161A">
            <w:pPr>
              <w:pStyle w:val="TableText"/>
              <w:rPr>
                <w:color w:val="800080" w:themeColor="accent3"/>
              </w:rPr>
            </w:pPr>
            <w:r>
              <w:rPr>
                <w:color w:val="800080" w:themeColor="accent3"/>
              </w:rPr>
              <w:t>8</w:t>
            </w:r>
          </w:p>
        </w:tc>
        <w:tc>
          <w:tcPr>
            <w:tcW w:w="2160" w:type="dxa"/>
          </w:tcPr>
          <w:p w14:paraId="2485DFEE" w14:textId="55B54097" w:rsidR="001A6A16" w:rsidRPr="00936B73" w:rsidRDefault="00A23112" w:rsidP="00E2161A">
            <w:pPr>
              <w:pStyle w:val="TableText"/>
              <w:rPr>
                <w:color w:val="800080" w:themeColor="accent3"/>
              </w:rPr>
            </w:pPr>
            <w:r w:rsidRPr="00A23112">
              <w:rPr>
                <w:color w:val="800080" w:themeColor="accent3"/>
              </w:rPr>
              <w:t>N/A</w:t>
            </w:r>
          </w:p>
        </w:tc>
        <w:tc>
          <w:tcPr>
            <w:tcW w:w="1890" w:type="dxa"/>
          </w:tcPr>
          <w:p w14:paraId="3EEC6AD4" w14:textId="257BC962" w:rsidR="001A6A16" w:rsidRPr="00936B73" w:rsidRDefault="00A23112" w:rsidP="00E2161A">
            <w:pPr>
              <w:pStyle w:val="TableText"/>
              <w:rPr>
                <w:color w:val="800080" w:themeColor="accent3"/>
              </w:rPr>
            </w:pPr>
            <w:r w:rsidRPr="00A23112">
              <w:rPr>
                <w:color w:val="800080" w:themeColor="accent3"/>
              </w:rPr>
              <w:t>N/A</w:t>
            </w:r>
          </w:p>
        </w:tc>
      </w:tr>
      <w:tr w:rsidR="001A6A16" w:rsidRPr="00936B73" w14:paraId="45D4B8AD" w14:textId="77777777" w:rsidTr="00EA3498">
        <w:trPr>
          <w:cantSplit/>
          <w:trHeight w:val="287"/>
        </w:trPr>
        <w:tc>
          <w:tcPr>
            <w:tcW w:w="2911" w:type="dxa"/>
          </w:tcPr>
          <w:p w14:paraId="205C72E2" w14:textId="18E976FE" w:rsidR="001A6A16" w:rsidRPr="00936B73" w:rsidRDefault="001A6A16" w:rsidP="00E2161A">
            <w:pPr>
              <w:pStyle w:val="TableText"/>
              <w:rPr>
                <w:color w:val="800080" w:themeColor="accent3"/>
              </w:rPr>
            </w:pPr>
            <w:r>
              <w:rPr>
                <w:color w:val="800080" w:themeColor="accent3"/>
              </w:rPr>
              <w:t>2025 No-Build Alternative</w:t>
            </w:r>
            <w:r w:rsidR="00EA3498">
              <w:rPr>
                <w:color w:val="800080" w:themeColor="accent3"/>
              </w:rPr>
              <w:t xml:space="preserve"> </w:t>
            </w:r>
            <w:r>
              <w:rPr>
                <w:color w:val="800080" w:themeColor="accent3"/>
              </w:rPr>
              <w:t xml:space="preserve"> </w:t>
            </w:r>
          </w:p>
        </w:tc>
        <w:tc>
          <w:tcPr>
            <w:tcW w:w="1173" w:type="dxa"/>
          </w:tcPr>
          <w:p w14:paraId="1B3F0F58" w14:textId="12A0DBFD" w:rsidR="001A6A16" w:rsidRPr="003261A4" w:rsidRDefault="00EA3498" w:rsidP="00E2161A">
            <w:pPr>
              <w:pStyle w:val="TableText"/>
              <w:rPr>
                <w:color w:val="800080" w:themeColor="accent3"/>
              </w:rPr>
            </w:pPr>
            <w:r>
              <w:rPr>
                <w:color w:val="800080" w:themeColor="accent3"/>
              </w:rPr>
              <w:t>2,383</w:t>
            </w:r>
          </w:p>
        </w:tc>
        <w:tc>
          <w:tcPr>
            <w:tcW w:w="1491" w:type="dxa"/>
          </w:tcPr>
          <w:p w14:paraId="5D3C72D7" w14:textId="1F24693E" w:rsidR="001A6A16" w:rsidRPr="003261A4" w:rsidRDefault="00EA3498" w:rsidP="00E2161A">
            <w:pPr>
              <w:pStyle w:val="TableText"/>
              <w:rPr>
                <w:color w:val="800080" w:themeColor="accent3"/>
              </w:rPr>
            </w:pPr>
            <w:r>
              <w:rPr>
                <w:color w:val="800080" w:themeColor="accent3"/>
              </w:rPr>
              <w:t>8</w:t>
            </w:r>
          </w:p>
        </w:tc>
        <w:tc>
          <w:tcPr>
            <w:tcW w:w="2160" w:type="dxa"/>
          </w:tcPr>
          <w:p w14:paraId="730E9412" w14:textId="2EC04148" w:rsidR="001A6A16" w:rsidRPr="00936B73" w:rsidRDefault="00EA3498" w:rsidP="00E2161A">
            <w:pPr>
              <w:pStyle w:val="TableText"/>
              <w:rPr>
                <w:color w:val="800080" w:themeColor="accent3"/>
              </w:rPr>
            </w:pPr>
            <w:r>
              <w:rPr>
                <w:color w:val="800080" w:themeColor="accent3"/>
              </w:rPr>
              <w:t>0 (0%)</w:t>
            </w:r>
          </w:p>
        </w:tc>
        <w:tc>
          <w:tcPr>
            <w:tcW w:w="1890" w:type="dxa"/>
          </w:tcPr>
          <w:p w14:paraId="11535AF2" w14:textId="4F869F33" w:rsidR="001A6A16" w:rsidRPr="00936B73" w:rsidRDefault="00A23112" w:rsidP="00E2161A">
            <w:pPr>
              <w:pStyle w:val="TableText"/>
              <w:rPr>
                <w:color w:val="800080" w:themeColor="accent3"/>
              </w:rPr>
            </w:pPr>
            <w:r w:rsidRPr="00A23112">
              <w:rPr>
                <w:color w:val="800080" w:themeColor="accent3"/>
              </w:rPr>
              <w:t>N/A</w:t>
            </w:r>
          </w:p>
        </w:tc>
      </w:tr>
      <w:tr w:rsidR="00EA3498" w:rsidRPr="00936B73" w14:paraId="3B25BAEC" w14:textId="77777777" w:rsidTr="00EA3498">
        <w:trPr>
          <w:cantSplit/>
          <w:trHeight w:val="287"/>
        </w:trPr>
        <w:tc>
          <w:tcPr>
            <w:tcW w:w="2911" w:type="dxa"/>
          </w:tcPr>
          <w:p w14:paraId="0CBD989F" w14:textId="7A9658D1" w:rsidR="00EA3498" w:rsidRPr="00EA3498" w:rsidRDefault="00EA3498" w:rsidP="00EA3498">
            <w:pPr>
              <w:pStyle w:val="TableText"/>
              <w:rPr>
                <w:color w:val="800080" w:themeColor="accent3"/>
                <w:vertAlign w:val="superscript"/>
              </w:rPr>
            </w:pPr>
            <w:r>
              <w:rPr>
                <w:color w:val="800080" w:themeColor="accent3"/>
              </w:rPr>
              <w:t xml:space="preserve">2025 Alternative 1 </w:t>
            </w:r>
          </w:p>
        </w:tc>
        <w:tc>
          <w:tcPr>
            <w:tcW w:w="1173" w:type="dxa"/>
          </w:tcPr>
          <w:p w14:paraId="45E693EB" w14:textId="08E7852B" w:rsidR="00EA3498" w:rsidRPr="00750B58" w:rsidRDefault="00EA3498" w:rsidP="00EA3498">
            <w:pPr>
              <w:pStyle w:val="TableText"/>
              <w:rPr>
                <w:color w:val="800080" w:themeColor="accent3"/>
              </w:rPr>
            </w:pPr>
            <w:r>
              <w:rPr>
                <w:color w:val="800080" w:themeColor="accent3"/>
              </w:rPr>
              <w:t>1,796</w:t>
            </w:r>
          </w:p>
        </w:tc>
        <w:tc>
          <w:tcPr>
            <w:tcW w:w="1491" w:type="dxa"/>
          </w:tcPr>
          <w:p w14:paraId="39C5749D" w14:textId="52E62DDD" w:rsidR="00EA3498" w:rsidRPr="00750B58" w:rsidRDefault="00EA3498" w:rsidP="00EA3498">
            <w:pPr>
              <w:pStyle w:val="TableText"/>
              <w:rPr>
                <w:color w:val="800080" w:themeColor="accent3"/>
              </w:rPr>
            </w:pPr>
            <w:r>
              <w:rPr>
                <w:color w:val="800080" w:themeColor="accent3"/>
              </w:rPr>
              <w:t>6</w:t>
            </w:r>
          </w:p>
        </w:tc>
        <w:tc>
          <w:tcPr>
            <w:tcW w:w="2160" w:type="dxa"/>
          </w:tcPr>
          <w:p w14:paraId="6717877F" w14:textId="77DB9CE9"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c>
          <w:tcPr>
            <w:tcW w:w="1890" w:type="dxa"/>
          </w:tcPr>
          <w:p w14:paraId="0CB5F286" w14:textId="665709FF"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r>
      <w:tr w:rsidR="00EA3498" w:rsidRPr="00936B73" w14:paraId="202C2AB1" w14:textId="77777777" w:rsidTr="00EA3498">
        <w:trPr>
          <w:cantSplit/>
          <w:trHeight w:val="287"/>
        </w:trPr>
        <w:tc>
          <w:tcPr>
            <w:tcW w:w="2911" w:type="dxa"/>
          </w:tcPr>
          <w:p w14:paraId="3180CB13" w14:textId="74DA3C57" w:rsidR="00EA3498" w:rsidRPr="00EA3498" w:rsidRDefault="00EA3498" w:rsidP="00EA3498">
            <w:pPr>
              <w:pStyle w:val="TableText"/>
              <w:rPr>
                <w:color w:val="800080" w:themeColor="accent3"/>
                <w:vertAlign w:val="superscript"/>
              </w:rPr>
            </w:pPr>
            <w:r>
              <w:rPr>
                <w:color w:val="800080" w:themeColor="accent3"/>
              </w:rPr>
              <w:t xml:space="preserve">2025 Alternative 2 </w:t>
            </w:r>
          </w:p>
        </w:tc>
        <w:tc>
          <w:tcPr>
            <w:tcW w:w="1173" w:type="dxa"/>
          </w:tcPr>
          <w:p w14:paraId="29F19E1B" w14:textId="5E7B1EBB" w:rsidR="00EA3498" w:rsidRPr="00BA75C3" w:rsidRDefault="00EA3498" w:rsidP="00EA3498">
            <w:pPr>
              <w:pStyle w:val="TableText"/>
              <w:rPr>
                <w:color w:val="800080" w:themeColor="accent3"/>
              </w:rPr>
            </w:pPr>
            <w:r>
              <w:rPr>
                <w:color w:val="800080" w:themeColor="accent3"/>
              </w:rPr>
              <w:t>1,796</w:t>
            </w:r>
          </w:p>
        </w:tc>
        <w:tc>
          <w:tcPr>
            <w:tcW w:w="1491" w:type="dxa"/>
          </w:tcPr>
          <w:p w14:paraId="354B4787" w14:textId="637A55EB" w:rsidR="00EA3498" w:rsidRPr="00BA75C3" w:rsidRDefault="00EA3498" w:rsidP="00EA3498">
            <w:pPr>
              <w:pStyle w:val="TableText"/>
              <w:rPr>
                <w:color w:val="800080" w:themeColor="accent3"/>
              </w:rPr>
            </w:pPr>
            <w:r>
              <w:rPr>
                <w:color w:val="800080" w:themeColor="accent3"/>
              </w:rPr>
              <w:t>6</w:t>
            </w:r>
          </w:p>
        </w:tc>
        <w:tc>
          <w:tcPr>
            <w:tcW w:w="2160" w:type="dxa"/>
          </w:tcPr>
          <w:p w14:paraId="2403D817" w14:textId="1FE8B096"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c>
          <w:tcPr>
            <w:tcW w:w="1890" w:type="dxa"/>
          </w:tcPr>
          <w:p w14:paraId="4285C039" w14:textId="67513519"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r>
      <w:tr w:rsidR="001A6A16" w:rsidRPr="00936B73" w14:paraId="184CC105" w14:textId="77777777" w:rsidTr="00EA3498">
        <w:trPr>
          <w:cantSplit/>
          <w:trHeight w:val="287"/>
        </w:trPr>
        <w:tc>
          <w:tcPr>
            <w:tcW w:w="2911" w:type="dxa"/>
          </w:tcPr>
          <w:p w14:paraId="596E95ED" w14:textId="7349BD87" w:rsidR="001A6A16" w:rsidRPr="00EA3498" w:rsidRDefault="001A6A16" w:rsidP="00E2161A">
            <w:pPr>
              <w:pStyle w:val="TableText"/>
              <w:rPr>
                <w:color w:val="800080" w:themeColor="accent3"/>
                <w:vertAlign w:val="superscript"/>
              </w:rPr>
            </w:pPr>
            <w:r>
              <w:rPr>
                <w:color w:val="800080" w:themeColor="accent3"/>
              </w:rPr>
              <w:t xml:space="preserve">2045 No-Build Alternative </w:t>
            </w:r>
          </w:p>
        </w:tc>
        <w:tc>
          <w:tcPr>
            <w:tcW w:w="1173" w:type="dxa"/>
          </w:tcPr>
          <w:p w14:paraId="316D02F6" w14:textId="7C719728" w:rsidR="001A6A16" w:rsidRPr="001469B2" w:rsidRDefault="00EA3498" w:rsidP="00E2161A">
            <w:pPr>
              <w:pStyle w:val="TableText"/>
              <w:rPr>
                <w:color w:val="800080" w:themeColor="accent3"/>
              </w:rPr>
            </w:pPr>
            <w:r>
              <w:rPr>
                <w:color w:val="800080" w:themeColor="accent3"/>
              </w:rPr>
              <w:t>2,383</w:t>
            </w:r>
          </w:p>
        </w:tc>
        <w:tc>
          <w:tcPr>
            <w:tcW w:w="1491" w:type="dxa"/>
          </w:tcPr>
          <w:p w14:paraId="3E177541" w14:textId="673F0205" w:rsidR="001A6A16" w:rsidRPr="001469B2" w:rsidRDefault="00EA3498" w:rsidP="00E2161A">
            <w:pPr>
              <w:pStyle w:val="TableText"/>
              <w:rPr>
                <w:color w:val="800080" w:themeColor="accent3"/>
              </w:rPr>
            </w:pPr>
            <w:r>
              <w:rPr>
                <w:color w:val="800080" w:themeColor="accent3"/>
              </w:rPr>
              <w:t>8</w:t>
            </w:r>
          </w:p>
        </w:tc>
        <w:tc>
          <w:tcPr>
            <w:tcW w:w="2160" w:type="dxa"/>
          </w:tcPr>
          <w:p w14:paraId="24FA1FF2" w14:textId="4112CAD7" w:rsidR="001A6A16" w:rsidRPr="00936B73" w:rsidRDefault="00EA3498" w:rsidP="00E2161A">
            <w:pPr>
              <w:pStyle w:val="TableText"/>
              <w:rPr>
                <w:color w:val="800080" w:themeColor="accent3"/>
              </w:rPr>
            </w:pPr>
            <w:r>
              <w:rPr>
                <w:color w:val="800080" w:themeColor="accent3"/>
              </w:rPr>
              <w:t>0 (0%)</w:t>
            </w:r>
          </w:p>
        </w:tc>
        <w:tc>
          <w:tcPr>
            <w:tcW w:w="1890" w:type="dxa"/>
          </w:tcPr>
          <w:p w14:paraId="2AA85EE2" w14:textId="5CFD1AC5" w:rsidR="001A6A16" w:rsidRPr="00936B73" w:rsidRDefault="00A23112" w:rsidP="00E2161A">
            <w:pPr>
              <w:pStyle w:val="TableText"/>
              <w:rPr>
                <w:color w:val="800080" w:themeColor="accent3"/>
              </w:rPr>
            </w:pPr>
            <w:r w:rsidRPr="00A23112">
              <w:rPr>
                <w:color w:val="800080" w:themeColor="accent3"/>
              </w:rPr>
              <w:t>N/A</w:t>
            </w:r>
          </w:p>
        </w:tc>
      </w:tr>
      <w:tr w:rsidR="00EA3498" w:rsidRPr="00936B73" w14:paraId="749904DB" w14:textId="77777777" w:rsidTr="00EA3498">
        <w:trPr>
          <w:cantSplit/>
          <w:trHeight w:val="287"/>
        </w:trPr>
        <w:tc>
          <w:tcPr>
            <w:tcW w:w="2911" w:type="dxa"/>
          </w:tcPr>
          <w:p w14:paraId="5395AA24" w14:textId="0C072C1B" w:rsidR="00EA3498" w:rsidRPr="00EA3498" w:rsidRDefault="00EA3498" w:rsidP="00EA3498">
            <w:pPr>
              <w:pStyle w:val="TableText"/>
              <w:rPr>
                <w:color w:val="800080" w:themeColor="accent3"/>
                <w:vertAlign w:val="superscript"/>
              </w:rPr>
            </w:pPr>
            <w:r>
              <w:rPr>
                <w:color w:val="800080" w:themeColor="accent3"/>
              </w:rPr>
              <w:lastRenderedPageBreak/>
              <w:t>2045 Alternative 1</w:t>
            </w:r>
          </w:p>
        </w:tc>
        <w:tc>
          <w:tcPr>
            <w:tcW w:w="1173" w:type="dxa"/>
          </w:tcPr>
          <w:p w14:paraId="1DA3EB0B" w14:textId="460DA10D" w:rsidR="00EA3498" w:rsidRPr="00766343" w:rsidRDefault="00EA3498" w:rsidP="00EA3498">
            <w:pPr>
              <w:pStyle w:val="TableText"/>
              <w:rPr>
                <w:color w:val="800080" w:themeColor="accent3"/>
              </w:rPr>
            </w:pPr>
            <w:r>
              <w:rPr>
                <w:color w:val="800080" w:themeColor="accent3"/>
              </w:rPr>
              <w:t>1,796</w:t>
            </w:r>
          </w:p>
        </w:tc>
        <w:tc>
          <w:tcPr>
            <w:tcW w:w="1491" w:type="dxa"/>
          </w:tcPr>
          <w:p w14:paraId="347CBB05" w14:textId="773D5800" w:rsidR="00EA3498" w:rsidRPr="00766343" w:rsidRDefault="00EA3498" w:rsidP="00EA3498">
            <w:pPr>
              <w:pStyle w:val="TableText"/>
              <w:rPr>
                <w:color w:val="800080" w:themeColor="accent3"/>
              </w:rPr>
            </w:pPr>
            <w:r>
              <w:rPr>
                <w:color w:val="800080" w:themeColor="accent3"/>
              </w:rPr>
              <w:t>6</w:t>
            </w:r>
          </w:p>
        </w:tc>
        <w:tc>
          <w:tcPr>
            <w:tcW w:w="2160" w:type="dxa"/>
          </w:tcPr>
          <w:p w14:paraId="301F873C" w14:textId="101BED33"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c>
          <w:tcPr>
            <w:tcW w:w="1890" w:type="dxa"/>
          </w:tcPr>
          <w:p w14:paraId="4493C929" w14:textId="025CFE82"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r>
      <w:tr w:rsidR="00EA3498" w:rsidRPr="00936B73" w14:paraId="4AF5E495" w14:textId="77777777" w:rsidTr="00EA3498">
        <w:trPr>
          <w:cantSplit/>
          <w:trHeight w:val="287"/>
        </w:trPr>
        <w:tc>
          <w:tcPr>
            <w:tcW w:w="2911" w:type="dxa"/>
          </w:tcPr>
          <w:p w14:paraId="2D5C3308" w14:textId="0A33CD92" w:rsidR="00EA3498" w:rsidRPr="00EA3498" w:rsidRDefault="00EA3498" w:rsidP="00EA3498">
            <w:pPr>
              <w:pStyle w:val="TableText"/>
              <w:rPr>
                <w:color w:val="800080" w:themeColor="accent3"/>
                <w:vertAlign w:val="superscript"/>
              </w:rPr>
            </w:pPr>
            <w:r>
              <w:rPr>
                <w:color w:val="800080" w:themeColor="accent3"/>
              </w:rPr>
              <w:t xml:space="preserve">2045 Alternative 2 </w:t>
            </w:r>
          </w:p>
        </w:tc>
        <w:tc>
          <w:tcPr>
            <w:tcW w:w="1173" w:type="dxa"/>
          </w:tcPr>
          <w:p w14:paraId="3D84C12F" w14:textId="0BEC0934" w:rsidR="00EA3498" w:rsidRPr="0043054A" w:rsidRDefault="00EA3498" w:rsidP="00EA3498">
            <w:pPr>
              <w:pStyle w:val="TableText"/>
              <w:rPr>
                <w:color w:val="800080" w:themeColor="accent3"/>
              </w:rPr>
            </w:pPr>
            <w:r>
              <w:rPr>
                <w:color w:val="800080" w:themeColor="accent3"/>
              </w:rPr>
              <w:t>1,796</w:t>
            </w:r>
          </w:p>
        </w:tc>
        <w:tc>
          <w:tcPr>
            <w:tcW w:w="1491" w:type="dxa"/>
          </w:tcPr>
          <w:p w14:paraId="28F4079C" w14:textId="0765DE35" w:rsidR="00EA3498" w:rsidRPr="0043054A" w:rsidRDefault="00EA3498" w:rsidP="00EA3498">
            <w:pPr>
              <w:pStyle w:val="TableText"/>
              <w:rPr>
                <w:color w:val="800080" w:themeColor="accent3"/>
              </w:rPr>
            </w:pPr>
            <w:r>
              <w:rPr>
                <w:color w:val="800080" w:themeColor="accent3"/>
              </w:rPr>
              <w:t>6</w:t>
            </w:r>
          </w:p>
        </w:tc>
        <w:tc>
          <w:tcPr>
            <w:tcW w:w="2160" w:type="dxa"/>
          </w:tcPr>
          <w:p w14:paraId="34D4B5DA" w14:textId="108EC0B3"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c>
          <w:tcPr>
            <w:tcW w:w="1890" w:type="dxa"/>
          </w:tcPr>
          <w:p w14:paraId="5F513F4A" w14:textId="43079A1D" w:rsidR="00EA3498" w:rsidRPr="00936B73" w:rsidRDefault="00EA3498" w:rsidP="00EA3498">
            <w:pPr>
              <w:pStyle w:val="TableText"/>
              <w:rPr>
                <w:color w:val="800080" w:themeColor="accent3"/>
              </w:rPr>
            </w:pPr>
            <w:r w:rsidRPr="009B59E6">
              <w:rPr>
                <w:color w:val="800080" w:themeColor="accent3"/>
              </w:rPr>
              <w:t>-</w:t>
            </w:r>
            <w:r>
              <w:rPr>
                <w:color w:val="800080" w:themeColor="accent3"/>
              </w:rPr>
              <w:t>2</w:t>
            </w:r>
            <w:r w:rsidRPr="009B59E6">
              <w:rPr>
                <w:color w:val="800080" w:themeColor="accent3"/>
              </w:rPr>
              <w:t xml:space="preserve"> (</w:t>
            </w:r>
            <w:r>
              <w:rPr>
                <w:color w:val="800080" w:themeColor="accent3"/>
              </w:rPr>
              <w:t>-25</w:t>
            </w:r>
            <w:r w:rsidRPr="009B59E6">
              <w:rPr>
                <w:color w:val="800080" w:themeColor="accent3"/>
              </w:rPr>
              <w:t>%)</w:t>
            </w:r>
          </w:p>
        </w:tc>
      </w:tr>
    </w:tbl>
    <w:p w14:paraId="564EF4C8" w14:textId="6E666D95" w:rsidR="00207B23" w:rsidRDefault="00207B23" w:rsidP="00207B23">
      <w:pPr>
        <w:pStyle w:val="TableText"/>
        <w:rPr>
          <w:color w:val="800080" w:themeColor="accent3"/>
        </w:rPr>
      </w:pPr>
      <w:r w:rsidRPr="00936B73">
        <w:rPr>
          <w:color w:val="800080" w:themeColor="accent3"/>
        </w:rPr>
        <w:t xml:space="preserve">Source: </w:t>
      </w:r>
      <w:r w:rsidR="00412315">
        <w:rPr>
          <w:color w:val="800080" w:themeColor="accent3"/>
        </w:rPr>
        <w:t>EIA</w:t>
      </w:r>
      <w:r w:rsidRPr="00EB7A0D">
        <w:rPr>
          <w:color w:val="800080" w:themeColor="accent3"/>
        </w:rPr>
        <w:t xml:space="preserve"> 2023</w:t>
      </w:r>
      <w:r w:rsidR="0019019B">
        <w:rPr>
          <w:color w:val="800080" w:themeColor="accent3"/>
        </w:rPr>
        <w:t>c</w:t>
      </w:r>
    </w:p>
    <w:p w14:paraId="2E116F87" w14:textId="006211A4" w:rsidR="00207B23" w:rsidRDefault="00207B23" w:rsidP="00207B23">
      <w:pPr>
        <w:spacing w:after="0"/>
        <w:rPr>
          <w:rFonts w:cs="Arial"/>
          <w:color w:val="800080" w:themeColor="accent3"/>
          <w:sz w:val="20"/>
        </w:rPr>
      </w:pPr>
      <w:r w:rsidRPr="00D83258">
        <w:rPr>
          <w:rFonts w:cs="Arial"/>
          <w:color w:val="800080" w:themeColor="accent3"/>
          <w:sz w:val="20"/>
        </w:rPr>
        <w:t xml:space="preserve">Note: </w:t>
      </w:r>
      <w:r w:rsidR="00A23112" w:rsidRPr="00A23112">
        <w:rPr>
          <w:rFonts w:cs="Arial"/>
          <w:color w:val="800080" w:themeColor="accent3"/>
          <w:sz w:val="20"/>
        </w:rPr>
        <w:t>N/A</w:t>
      </w:r>
      <w:r w:rsidR="00A23112" w:rsidRPr="00A23112" w:rsidDel="00A23112">
        <w:rPr>
          <w:rFonts w:cs="Arial"/>
          <w:color w:val="800080" w:themeColor="accent3"/>
          <w:sz w:val="20"/>
        </w:rPr>
        <w:t xml:space="preserve"> </w:t>
      </w:r>
      <w:r w:rsidR="00C45818" w:rsidRPr="00BC4340">
        <w:rPr>
          <w:rFonts w:cs="Arial"/>
          <w:color w:val="800080" w:themeColor="accent3"/>
          <w:sz w:val="20"/>
        </w:rPr>
        <w:t>= comparison not applicable</w:t>
      </w:r>
    </w:p>
    <w:p w14:paraId="0FB733F0" w14:textId="77777777" w:rsidR="00C45818" w:rsidRPr="008C2F14" w:rsidRDefault="00C45818" w:rsidP="0012545E">
      <w:pPr>
        <w:spacing w:after="0"/>
        <w:rPr>
          <w:rFonts w:cs="Arial"/>
          <w:color w:val="800080" w:themeColor="accent3"/>
          <w:sz w:val="20"/>
        </w:rPr>
      </w:pPr>
    </w:p>
    <w:p w14:paraId="3A32E1C2" w14:textId="50F454F1" w:rsidR="00207B23" w:rsidRPr="00D83258" w:rsidRDefault="009523D8" w:rsidP="00207B23">
      <w:pPr>
        <w:rPr>
          <w:color w:val="800080" w:themeColor="accent3"/>
        </w:rPr>
      </w:pPr>
      <w:r w:rsidRPr="009523D8">
        <w:rPr>
          <w:color w:val="800080" w:themeColor="accent3"/>
        </w:rPr>
        <w:t>As shown in Table 4-</w:t>
      </w:r>
      <w:r>
        <w:rPr>
          <w:color w:val="800080" w:themeColor="accent3"/>
        </w:rPr>
        <w:t>7</w:t>
      </w:r>
      <w:r w:rsidRPr="009523D8">
        <w:rPr>
          <w:color w:val="800080" w:themeColor="accent3"/>
        </w:rPr>
        <w:t xml:space="preserve">, </w:t>
      </w:r>
      <w:bookmarkStart w:id="153" w:name="_Hlk149028998"/>
      <w:bookmarkStart w:id="154" w:name="_Hlk149033912"/>
      <w:r w:rsidRPr="009523D8">
        <w:rPr>
          <w:color w:val="800080" w:themeColor="accent3"/>
        </w:rPr>
        <w:t xml:space="preserve">operational lighting electricity </w:t>
      </w:r>
      <w:bookmarkEnd w:id="153"/>
      <w:r w:rsidRPr="009523D8">
        <w:rPr>
          <w:color w:val="800080" w:themeColor="accent3"/>
        </w:rPr>
        <w:t xml:space="preserve">and indirect energy would </w:t>
      </w:r>
      <w:r w:rsidRPr="003E101F">
        <w:rPr>
          <w:color w:val="800080" w:themeColor="accent3"/>
        </w:rPr>
        <w:t xml:space="preserve">decrease </w:t>
      </w:r>
      <w:bookmarkStart w:id="155" w:name="_Hlk149029006"/>
      <w:r w:rsidRPr="003E101F">
        <w:rPr>
          <w:color w:val="800080" w:themeColor="accent3"/>
        </w:rPr>
        <w:t xml:space="preserve">under either build alternative compared to the No-Build Alternative </w:t>
      </w:r>
      <w:bookmarkEnd w:id="155"/>
      <w:r w:rsidRPr="003E101F">
        <w:rPr>
          <w:color w:val="800080" w:themeColor="accent3"/>
        </w:rPr>
        <w:t>and existing conditions</w:t>
      </w:r>
      <w:bookmarkStart w:id="156" w:name="_Hlk149029015"/>
      <w:bookmarkEnd w:id="154"/>
      <w:r w:rsidR="00D41864" w:rsidRPr="009523D8">
        <w:rPr>
          <w:color w:val="800080" w:themeColor="accent3"/>
        </w:rPr>
        <w:t xml:space="preserve">.  </w:t>
      </w:r>
      <w:r w:rsidRPr="009523D8">
        <w:rPr>
          <w:color w:val="800080" w:themeColor="accent3"/>
        </w:rPr>
        <w:t xml:space="preserve">This is because </w:t>
      </w:r>
      <w:r w:rsidR="004F24C2" w:rsidRPr="004F24C2">
        <w:rPr>
          <w:color w:val="800080" w:themeColor="accent3"/>
        </w:rPr>
        <w:t xml:space="preserve">LED fixtures </w:t>
      </w:r>
      <w:r w:rsidRPr="009523D8">
        <w:rPr>
          <w:color w:val="800080" w:themeColor="accent3"/>
        </w:rPr>
        <w:t>would be used wherever street</w:t>
      </w:r>
      <w:r w:rsidR="00B50860">
        <w:rPr>
          <w:color w:val="800080" w:themeColor="accent3"/>
        </w:rPr>
        <w:t xml:space="preserve"> </w:t>
      </w:r>
      <w:r w:rsidRPr="009523D8">
        <w:rPr>
          <w:color w:val="800080" w:themeColor="accent3"/>
        </w:rPr>
        <w:t>lights are installed or replaced</w:t>
      </w:r>
      <w:bookmarkEnd w:id="156"/>
      <w:r w:rsidR="00D41864" w:rsidRPr="009523D8">
        <w:rPr>
          <w:color w:val="800080" w:themeColor="accent3"/>
        </w:rPr>
        <w:t xml:space="preserve">.  </w:t>
      </w:r>
      <w:r w:rsidRPr="009523D8">
        <w:rPr>
          <w:color w:val="800080" w:themeColor="accent3"/>
        </w:rPr>
        <w:t>LED street</w:t>
      </w:r>
      <w:r w:rsidR="00FD3A33">
        <w:rPr>
          <w:color w:val="800080" w:themeColor="accent3"/>
        </w:rPr>
        <w:t xml:space="preserve"> </w:t>
      </w:r>
      <w:r w:rsidRPr="009523D8">
        <w:rPr>
          <w:color w:val="800080" w:themeColor="accent3"/>
        </w:rPr>
        <w:t>lighting consumes up to 70% less energy per year as compared to incandescent bulbs (The Climate Group 2023)</w:t>
      </w:r>
      <w:r w:rsidR="00D41864" w:rsidRPr="009523D8">
        <w:rPr>
          <w:color w:val="800080" w:themeColor="accent3"/>
        </w:rPr>
        <w:t xml:space="preserve">.  </w:t>
      </w:r>
      <w:r w:rsidRPr="009523D8">
        <w:rPr>
          <w:color w:val="800080" w:themeColor="accent3"/>
        </w:rPr>
        <w:t>All new traffic signals would likewise use LED bulbs, which reduce signal energy consumption by up to 80% (</w:t>
      </w:r>
      <w:r w:rsidR="00B11E9F">
        <w:rPr>
          <w:color w:val="800080" w:themeColor="accent3"/>
        </w:rPr>
        <w:t xml:space="preserve">U.S. </w:t>
      </w:r>
      <w:r w:rsidR="003C00C9">
        <w:rPr>
          <w:color w:val="800080" w:themeColor="accent3"/>
        </w:rPr>
        <w:t>DOE</w:t>
      </w:r>
      <w:r w:rsidRPr="009523D8">
        <w:rPr>
          <w:color w:val="800080" w:themeColor="accent3"/>
        </w:rPr>
        <w:t xml:space="preserve"> 2004)</w:t>
      </w:r>
      <w:r w:rsidR="00D41864" w:rsidRPr="009523D8">
        <w:rPr>
          <w:color w:val="800080" w:themeColor="accent3"/>
        </w:rPr>
        <w:t xml:space="preserve">.  </w:t>
      </w:r>
      <w:r w:rsidRPr="009523D8">
        <w:rPr>
          <w:color w:val="800080" w:themeColor="accent3"/>
        </w:rPr>
        <w:t>Under the No</w:t>
      </w:r>
      <w:r w:rsidR="00B840D4">
        <w:rPr>
          <w:color w:val="800080" w:themeColor="accent3"/>
        </w:rPr>
        <w:t>-</w:t>
      </w:r>
      <w:r w:rsidRPr="009523D8">
        <w:rPr>
          <w:color w:val="800080" w:themeColor="accent3"/>
        </w:rPr>
        <w:t>Build Alternative, less</w:t>
      </w:r>
      <w:r w:rsidR="00FF6B37">
        <w:rPr>
          <w:color w:val="800080" w:themeColor="accent3"/>
        </w:rPr>
        <w:t>-</w:t>
      </w:r>
      <w:r w:rsidRPr="009523D8">
        <w:rPr>
          <w:color w:val="800080" w:themeColor="accent3"/>
        </w:rPr>
        <w:t>efficient technology would continue to be used in area lighting for a longer period</w:t>
      </w:r>
      <w:r w:rsidR="00D41864" w:rsidRPr="009523D8">
        <w:rPr>
          <w:color w:val="800080" w:themeColor="accent3"/>
        </w:rPr>
        <w:t xml:space="preserve">.  </w:t>
      </w:r>
      <w:r w:rsidRPr="009523D8">
        <w:rPr>
          <w:color w:val="800080" w:themeColor="accent3"/>
        </w:rPr>
        <w:t xml:space="preserve">Thus, despite the </w:t>
      </w:r>
      <w:r w:rsidRPr="003E101F">
        <w:rPr>
          <w:color w:val="800080" w:themeColor="accent3"/>
        </w:rPr>
        <w:t>net increase in the number of street</w:t>
      </w:r>
      <w:r w:rsidR="00B50860">
        <w:rPr>
          <w:color w:val="800080" w:themeColor="accent3"/>
        </w:rPr>
        <w:t xml:space="preserve"> </w:t>
      </w:r>
      <w:r w:rsidRPr="003E101F">
        <w:rPr>
          <w:color w:val="800080" w:themeColor="accent3"/>
        </w:rPr>
        <w:t>lights and traffic signals</w:t>
      </w:r>
      <w:r w:rsidRPr="009523D8">
        <w:rPr>
          <w:color w:val="800080" w:themeColor="accent3"/>
        </w:rPr>
        <w:t>, the project has been designed to conserve energy with LED fixtures, resulting in an overall lower consumption of indirect energy</w:t>
      </w:r>
      <w:r w:rsidR="00D41864" w:rsidRPr="009523D8">
        <w:rPr>
          <w:color w:val="800080" w:themeColor="accent3"/>
        </w:rPr>
        <w:t xml:space="preserve">.  </w:t>
      </w:r>
      <w:r w:rsidRPr="009523D8">
        <w:rPr>
          <w:color w:val="800080" w:themeColor="accent3"/>
        </w:rPr>
        <w:t>Compared to existing (202</w:t>
      </w:r>
      <w:r w:rsidR="00A80868">
        <w:rPr>
          <w:color w:val="800080" w:themeColor="accent3"/>
        </w:rPr>
        <w:t>3</w:t>
      </w:r>
      <w:r w:rsidRPr="009523D8">
        <w:rPr>
          <w:color w:val="800080" w:themeColor="accent3"/>
        </w:rPr>
        <w:t xml:space="preserve">) conditions, a greater </w:t>
      </w:r>
      <w:r w:rsidR="00E2021B" w:rsidRPr="00E2021B">
        <w:rPr>
          <w:color w:val="800080" w:themeColor="accent3"/>
        </w:rPr>
        <w:t xml:space="preserve">percentage </w:t>
      </w:r>
      <w:r w:rsidRPr="009523D8">
        <w:rPr>
          <w:color w:val="800080" w:themeColor="accent3"/>
        </w:rPr>
        <w:t>of electricity consumed by either build alternative or No</w:t>
      </w:r>
      <w:r w:rsidR="0012545E">
        <w:rPr>
          <w:color w:val="800080" w:themeColor="accent3"/>
        </w:rPr>
        <w:t>-</w:t>
      </w:r>
      <w:r w:rsidRPr="009523D8">
        <w:rPr>
          <w:color w:val="800080" w:themeColor="accent3"/>
        </w:rPr>
        <w:t>Build Alternative under both future year conditions would be renewably sourced due to the state’s RPS</w:t>
      </w:r>
      <w:r>
        <w:rPr>
          <w:color w:val="800080" w:themeColor="accent3"/>
        </w:rPr>
        <w:t xml:space="preserve"> (see Chapter 2, </w:t>
      </w:r>
      <w:r w:rsidRPr="00FD1673">
        <w:rPr>
          <w:i/>
          <w:iCs/>
          <w:color w:val="800080" w:themeColor="accent3"/>
        </w:rPr>
        <w:t>Regulatory Setting</w:t>
      </w:r>
      <w:r>
        <w:rPr>
          <w:color w:val="800080" w:themeColor="accent3"/>
        </w:rPr>
        <w:t xml:space="preserve">, Section 2.3.4, </w:t>
      </w:r>
      <w:r w:rsidRPr="00FD1673">
        <w:rPr>
          <w:i/>
          <w:iCs/>
          <w:color w:val="800080" w:themeColor="accent3"/>
        </w:rPr>
        <w:t>Renewable Fuels and Electricity</w:t>
      </w:r>
      <w:r>
        <w:rPr>
          <w:color w:val="800080" w:themeColor="accent3"/>
        </w:rPr>
        <w:t>)</w:t>
      </w:r>
      <w:r w:rsidR="00207B23" w:rsidRPr="00D83258">
        <w:rPr>
          <w:color w:val="800080" w:themeColor="accent3"/>
        </w:rPr>
        <w:t>.</w:t>
      </w:r>
      <w:r w:rsidR="00207B23">
        <w:rPr>
          <w:color w:val="800080" w:themeColor="accent3"/>
        </w:rPr>
        <w:t xml:space="preserve">  </w:t>
      </w:r>
      <w:r w:rsidR="00207B23" w:rsidRPr="00752C53">
        <w:rPr>
          <w:b/>
          <w:bCs/>
          <w:color w:val="0000FF" w:themeColor="accent1"/>
        </w:rPr>
        <w:t xml:space="preserve">[End </w:t>
      </w:r>
      <w:r w:rsidR="00207B23" w:rsidRPr="00207B23">
        <w:rPr>
          <w:b/>
          <w:bCs/>
          <w:color w:val="0000FF" w:themeColor="accent1"/>
        </w:rPr>
        <w:t>example</w:t>
      </w:r>
      <w:r w:rsidR="00207B23" w:rsidRPr="00752C53">
        <w:rPr>
          <w:b/>
          <w:bCs/>
          <w:color w:val="0000FF" w:themeColor="accent1"/>
        </w:rPr>
        <w:t>]</w:t>
      </w:r>
    </w:p>
    <w:p w14:paraId="21FFC639" w14:textId="73782910" w:rsidR="00D83258" w:rsidRPr="00612793" w:rsidRDefault="00207B23"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C6CBC4" w14:textId="169CDD37" w:rsidR="00472599" w:rsidRDefault="00472599" w:rsidP="0099598E">
      <w:pPr>
        <w:pStyle w:val="Heading2"/>
      </w:pPr>
      <w:bookmarkStart w:id="157" w:name="_Toc150334799"/>
      <w:bookmarkStart w:id="158" w:name="_Toc157429596"/>
      <w:r>
        <w:t>Total Energy</w:t>
      </w:r>
      <w:bookmarkEnd w:id="158"/>
      <w:r>
        <w:t xml:space="preserve"> </w:t>
      </w:r>
    </w:p>
    <w:p w14:paraId="61CD2FB4" w14:textId="77777777" w:rsidR="00472599" w:rsidRDefault="00472599" w:rsidP="00472599">
      <w:pPr>
        <w:pStyle w:val="IntroGuidanceHeading1"/>
      </w:pPr>
      <w:r>
        <w:t>GUIDANCE</w:t>
      </w:r>
    </w:p>
    <w:p w14:paraId="5F7E38E7" w14:textId="77777777" w:rsidR="00B54F9B" w:rsidRDefault="00472599" w:rsidP="00472599">
      <w:pPr>
        <w:rPr>
          <w:color w:val="0000FF" w:themeColor="accent1"/>
        </w:rPr>
      </w:pPr>
      <w:r>
        <w:rPr>
          <w:color w:val="0000FF" w:themeColor="accent1"/>
        </w:rPr>
        <w:t xml:space="preserve">Summarize the results of the direct and indirect energy analyses presented in Sections 4.2, </w:t>
      </w:r>
      <w:r w:rsidRPr="00B54F9B">
        <w:rPr>
          <w:i/>
          <w:iCs/>
          <w:color w:val="0000FF" w:themeColor="accent1"/>
        </w:rPr>
        <w:t>Direct Energy</w:t>
      </w:r>
      <w:r>
        <w:rPr>
          <w:color w:val="0000FF" w:themeColor="accent1"/>
        </w:rPr>
        <w:t xml:space="preserve">, and 4.3, </w:t>
      </w:r>
      <w:r w:rsidRPr="00B54F9B">
        <w:rPr>
          <w:i/>
          <w:iCs/>
          <w:color w:val="0000FF" w:themeColor="accent1"/>
        </w:rPr>
        <w:t>Indirect Energy</w:t>
      </w:r>
      <w:r>
        <w:rPr>
          <w:color w:val="0000FF" w:themeColor="accent1"/>
        </w:rPr>
        <w:t>, respectively</w:t>
      </w:r>
      <w:r w:rsidRPr="009E0F14">
        <w:rPr>
          <w:color w:val="0000FF" w:themeColor="accent1"/>
        </w:rPr>
        <w:t>.</w:t>
      </w:r>
      <w:r>
        <w:rPr>
          <w:color w:val="0000FF" w:themeColor="accent1"/>
        </w:rPr>
        <w:t xml:space="preserve">  </w:t>
      </w:r>
    </w:p>
    <w:p w14:paraId="21F8DDC4" w14:textId="77777777" w:rsidR="00B54F9B" w:rsidRDefault="00472599" w:rsidP="00472599">
      <w:pPr>
        <w:rPr>
          <w:color w:val="0000FF" w:themeColor="accent1"/>
        </w:rPr>
      </w:pPr>
      <w:r>
        <w:rPr>
          <w:color w:val="0000FF" w:themeColor="accent1"/>
        </w:rPr>
        <w:t xml:space="preserve">If indirect maintenance and operations energy </w:t>
      </w:r>
      <w:r w:rsidR="00B54F9B">
        <w:rPr>
          <w:color w:val="0000FF" w:themeColor="accent1"/>
        </w:rPr>
        <w:t>are</w:t>
      </w:r>
      <w:r>
        <w:rPr>
          <w:color w:val="0000FF" w:themeColor="accent1"/>
        </w:rPr>
        <w:t xml:space="preserve"> quantified, sum together with the annual estimates for direct energy.  Present the results in a table.  </w:t>
      </w:r>
      <w:r w:rsidR="00B54F9B">
        <w:rPr>
          <w:color w:val="0000FF" w:themeColor="accent1"/>
        </w:rPr>
        <w:t xml:space="preserve">Do not add indirect construction energy as this consumption would be temporary and limited to the construction period.  </w:t>
      </w:r>
    </w:p>
    <w:p w14:paraId="17ABF5BE" w14:textId="0AC2A163" w:rsidR="00472599" w:rsidRDefault="00472599" w:rsidP="00472599">
      <w:pPr>
        <w:rPr>
          <w:color w:val="0000FF" w:themeColor="accent1"/>
        </w:rPr>
      </w:pPr>
      <w:r>
        <w:rPr>
          <w:color w:val="0000FF" w:themeColor="accent1"/>
        </w:rPr>
        <w:t xml:space="preserve">If </w:t>
      </w:r>
      <w:r w:rsidR="00B54F9B">
        <w:rPr>
          <w:color w:val="0000FF" w:themeColor="accent1"/>
        </w:rPr>
        <w:t>indirect maintenance and operations energy</w:t>
      </w:r>
      <w:r>
        <w:rPr>
          <w:color w:val="0000FF" w:themeColor="accent1"/>
        </w:rPr>
        <w:t xml:space="preserve"> </w:t>
      </w:r>
      <w:r w:rsidR="00B54F9B">
        <w:rPr>
          <w:color w:val="0000FF" w:themeColor="accent1"/>
        </w:rPr>
        <w:t>are not quantified, briefly summarize the main points of the</w:t>
      </w:r>
      <w:r w:rsidR="00DB519D">
        <w:rPr>
          <w:color w:val="0000FF" w:themeColor="accent1"/>
        </w:rPr>
        <w:t>se</w:t>
      </w:r>
      <w:r w:rsidR="00B54F9B">
        <w:rPr>
          <w:color w:val="0000FF" w:themeColor="accent1"/>
        </w:rPr>
        <w:t xml:space="preserve"> analyses.  Cross-reference the quantified results for direct energy and indirect construction. </w:t>
      </w:r>
    </w:p>
    <w:p w14:paraId="786BD587" w14:textId="42E0A1A5" w:rsidR="00B54F9B" w:rsidRDefault="00B54F9B" w:rsidP="00472599">
      <w:pPr>
        <w:rPr>
          <w:color w:val="0000FF" w:themeColor="accent1"/>
        </w:rPr>
      </w:pPr>
      <w:r>
        <w:rPr>
          <w:color w:val="0000FF" w:themeColor="accent1"/>
        </w:rPr>
        <w:t>The following is an example analysis.</w:t>
      </w:r>
      <w:r w:rsidR="003603E1">
        <w:rPr>
          <w:color w:val="0000FF" w:themeColor="accent1"/>
        </w:rPr>
        <w:t xml:space="preserve">  Note that example numeric results are provided in the tables but not in the narrative text.  The text uses [value] to </w:t>
      </w:r>
      <w:r w:rsidR="00B67A46">
        <w:rPr>
          <w:color w:val="0000FF" w:themeColor="accent1"/>
        </w:rPr>
        <w:t xml:space="preserve">indicate </w:t>
      </w:r>
      <w:r w:rsidR="003603E1">
        <w:rPr>
          <w:color w:val="0000FF" w:themeColor="accent1"/>
        </w:rPr>
        <w:t>where project</w:t>
      </w:r>
      <w:r w:rsidR="00B67A46">
        <w:rPr>
          <w:color w:val="0000FF" w:themeColor="accent1"/>
        </w:rPr>
        <w:t>-</w:t>
      </w:r>
      <w:r w:rsidR="003603E1">
        <w:rPr>
          <w:color w:val="0000FF" w:themeColor="accent1"/>
        </w:rPr>
        <w:t>specific results would be given.</w:t>
      </w:r>
    </w:p>
    <w:p w14:paraId="0C389D06" w14:textId="42BC1436" w:rsidR="00B54F9B" w:rsidRDefault="00B54F9B" w:rsidP="00472599">
      <w:pPr>
        <w:rPr>
          <w:color w:val="800080" w:themeColor="accent3"/>
        </w:rPr>
      </w:pPr>
      <w:r>
        <w:rPr>
          <w:color w:val="800080" w:themeColor="accent3"/>
        </w:rPr>
        <w:t>Table 4-8 summarizes total direct and indirect</w:t>
      </w:r>
      <w:r w:rsidR="00B96267">
        <w:rPr>
          <w:color w:val="800080" w:themeColor="accent3"/>
        </w:rPr>
        <w:t xml:space="preserve"> (maintenance and operations)</w:t>
      </w:r>
      <w:r>
        <w:rPr>
          <w:color w:val="800080" w:themeColor="accent3"/>
        </w:rPr>
        <w:t xml:space="preserve"> </w:t>
      </w:r>
      <w:r w:rsidR="001E3ECA">
        <w:rPr>
          <w:color w:val="800080" w:themeColor="accent3"/>
        </w:rPr>
        <w:t>energy</w:t>
      </w:r>
      <w:r w:rsidRPr="00384B82">
        <w:rPr>
          <w:color w:val="800080" w:themeColor="accent3"/>
        </w:rPr>
        <w:t xml:space="preserve"> consumption</w:t>
      </w:r>
      <w:r>
        <w:rPr>
          <w:color w:val="800080" w:themeColor="accent3"/>
        </w:rPr>
        <w:t xml:space="preserve"> </w:t>
      </w:r>
      <w:r w:rsidR="00B96267" w:rsidRPr="00763C50">
        <w:rPr>
          <w:color w:val="800080" w:themeColor="accent3"/>
        </w:rPr>
        <w:t>for the analysis conditions</w:t>
      </w:r>
      <w:r w:rsidR="00B96267">
        <w:rPr>
          <w:color w:val="800080" w:themeColor="accent3"/>
        </w:rPr>
        <w:t xml:space="preserve">.  </w:t>
      </w:r>
      <w:r w:rsidR="001E3ECA" w:rsidRPr="007315DB">
        <w:rPr>
          <w:color w:val="800080" w:themeColor="accent3"/>
        </w:rPr>
        <w:t>Compared to existing (202</w:t>
      </w:r>
      <w:r w:rsidR="001E3ECA">
        <w:rPr>
          <w:color w:val="800080" w:themeColor="accent3"/>
        </w:rPr>
        <w:t>3</w:t>
      </w:r>
      <w:r w:rsidR="001E3ECA" w:rsidRPr="007315DB">
        <w:rPr>
          <w:color w:val="800080" w:themeColor="accent3"/>
        </w:rPr>
        <w:t xml:space="preserve">) conditions, operation of either build alternative or </w:t>
      </w:r>
      <w:r w:rsidR="001E3ECA">
        <w:rPr>
          <w:color w:val="800080" w:themeColor="accent3"/>
        </w:rPr>
        <w:t xml:space="preserve">the </w:t>
      </w:r>
      <w:r w:rsidR="001E3ECA" w:rsidRPr="007315DB">
        <w:rPr>
          <w:color w:val="800080" w:themeColor="accent3"/>
        </w:rPr>
        <w:t>No</w:t>
      </w:r>
      <w:r w:rsidR="001E3ECA">
        <w:rPr>
          <w:color w:val="800080" w:themeColor="accent3"/>
        </w:rPr>
        <w:t>-</w:t>
      </w:r>
      <w:r w:rsidR="001E3ECA" w:rsidRPr="007315DB">
        <w:rPr>
          <w:color w:val="800080" w:themeColor="accent3"/>
        </w:rPr>
        <w:t xml:space="preserve">Build Alternative under both future year conditions would increase </w:t>
      </w:r>
      <w:r w:rsidR="001E3ECA">
        <w:rPr>
          <w:color w:val="800080" w:themeColor="accent3"/>
        </w:rPr>
        <w:t>total</w:t>
      </w:r>
      <w:r w:rsidR="001E3ECA" w:rsidRPr="007315DB">
        <w:rPr>
          <w:color w:val="800080" w:themeColor="accent3"/>
        </w:rPr>
        <w:t xml:space="preserve"> energy.</w:t>
      </w:r>
      <w:r w:rsidR="001E3ECA">
        <w:rPr>
          <w:color w:val="800080" w:themeColor="accent3"/>
        </w:rPr>
        <w:t xml:space="preserve">  Compared to </w:t>
      </w:r>
      <w:r w:rsidR="001E3ECA" w:rsidRPr="007315DB">
        <w:rPr>
          <w:color w:val="800080" w:themeColor="accent3"/>
        </w:rPr>
        <w:t>the No-Build Alternative</w:t>
      </w:r>
      <w:r w:rsidR="001E3ECA">
        <w:rPr>
          <w:color w:val="800080" w:themeColor="accent3"/>
        </w:rPr>
        <w:t>, total</w:t>
      </w:r>
      <w:r w:rsidR="001E3ECA" w:rsidRPr="007315DB">
        <w:rPr>
          <w:color w:val="800080" w:themeColor="accent3"/>
        </w:rPr>
        <w:t xml:space="preserve"> energy use by either build alternative under both future year conditions is expected to decrease</w:t>
      </w:r>
      <w:r w:rsidR="001E3ECA">
        <w:rPr>
          <w:color w:val="800080" w:themeColor="accent3"/>
        </w:rPr>
        <w:t xml:space="preserve">.  Direct energy represents the majority of energy consumption under either </w:t>
      </w:r>
      <w:r w:rsidR="001E3ECA">
        <w:rPr>
          <w:color w:val="800080" w:themeColor="accent3"/>
        </w:rPr>
        <w:lastRenderedPageBreak/>
        <w:t xml:space="preserve">build alternative.  Construction activities would result in an additional </w:t>
      </w:r>
      <w:r w:rsidR="00F57551">
        <w:rPr>
          <w:color w:val="800080" w:themeColor="accent3"/>
        </w:rPr>
        <w:t xml:space="preserve">one-time consumption of </w:t>
      </w:r>
      <w:r w:rsidR="003603E1">
        <w:rPr>
          <w:color w:val="800080" w:themeColor="accent3"/>
        </w:rPr>
        <w:t>[value]</w:t>
      </w:r>
      <w:r w:rsidR="001E3ECA">
        <w:rPr>
          <w:color w:val="800080" w:themeColor="accent3"/>
        </w:rPr>
        <w:t xml:space="preserve"> to </w:t>
      </w:r>
      <w:r w:rsidR="003603E1">
        <w:rPr>
          <w:color w:val="800080" w:themeColor="accent3"/>
        </w:rPr>
        <w:t>[value]</w:t>
      </w:r>
      <w:r w:rsidR="001E3ECA" w:rsidRPr="005B205B">
        <w:rPr>
          <w:color w:val="800080" w:themeColor="accent3"/>
        </w:rPr>
        <w:t xml:space="preserve"> BTUs </w:t>
      </w:r>
      <w:r w:rsidR="001E3ECA">
        <w:rPr>
          <w:color w:val="800080" w:themeColor="accent3"/>
        </w:rPr>
        <w:t>of indirect energy, depending on the alternative</w:t>
      </w:r>
      <w:r w:rsidR="00F57551">
        <w:rPr>
          <w:color w:val="800080" w:themeColor="accent3"/>
        </w:rPr>
        <w:t xml:space="preserve"> (see Table 4-5)</w:t>
      </w:r>
      <w:r w:rsidR="001E3ECA">
        <w:rPr>
          <w:color w:val="800080" w:themeColor="accent3"/>
        </w:rPr>
        <w:t>.</w:t>
      </w:r>
    </w:p>
    <w:p w14:paraId="75BD523E" w14:textId="16898BE8" w:rsidR="001E3ECA" w:rsidRPr="00936B73" w:rsidRDefault="001E3ECA" w:rsidP="001E3ECA">
      <w:pPr>
        <w:pStyle w:val="TableTitle"/>
        <w:rPr>
          <w:color w:val="800080" w:themeColor="accent3"/>
        </w:rPr>
      </w:pPr>
      <w:r w:rsidRPr="004F24C2">
        <w:rPr>
          <w:color w:val="800080" w:themeColor="accent3"/>
        </w:rPr>
        <w:t xml:space="preserve">Table </w:t>
      </w:r>
      <w:r w:rsidRPr="004F24C2">
        <w:rPr>
          <w:color w:val="800080" w:themeColor="accent3"/>
        </w:rPr>
        <w:fldChar w:fldCharType="begin"/>
      </w:r>
      <w:r w:rsidRPr="004F24C2">
        <w:rPr>
          <w:color w:val="800080" w:themeColor="accent3"/>
        </w:rPr>
        <w:instrText xml:space="preserve"> STYLEREF 1 \s </w:instrText>
      </w:r>
      <w:r w:rsidRPr="004F24C2">
        <w:rPr>
          <w:color w:val="800080" w:themeColor="accent3"/>
        </w:rPr>
        <w:fldChar w:fldCharType="separate"/>
      </w:r>
      <w:r>
        <w:rPr>
          <w:noProof/>
          <w:color w:val="800080" w:themeColor="accent3"/>
        </w:rPr>
        <w:t>4</w:t>
      </w:r>
      <w:r w:rsidRPr="004F24C2">
        <w:rPr>
          <w:noProof/>
          <w:color w:val="800080" w:themeColor="accent3"/>
        </w:rPr>
        <w:fldChar w:fldCharType="end"/>
      </w:r>
      <w:r w:rsidRPr="004F24C2">
        <w:rPr>
          <w:color w:val="800080" w:themeColor="accent3"/>
        </w:rPr>
        <w:noBreakHyphen/>
      </w:r>
      <w:r>
        <w:rPr>
          <w:color w:val="800080" w:themeColor="accent3"/>
        </w:rPr>
        <w:t>8</w:t>
      </w:r>
      <w:r w:rsidRPr="004F24C2">
        <w:rPr>
          <w:color w:val="800080" w:themeColor="accent3"/>
        </w:rPr>
        <w:t xml:space="preserve">: </w:t>
      </w:r>
      <w:r w:rsidRPr="00394A2C">
        <w:rPr>
          <w:color w:val="800080" w:themeColor="accent3"/>
        </w:rPr>
        <w:t xml:space="preserve">Annual </w:t>
      </w:r>
      <w:r>
        <w:rPr>
          <w:color w:val="800080" w:themeColor="accent3"/>
        </w:rPr>
        <w:t>Direct and Indirect (Maintenance and Operations)</w:t>
      </w:r>
      <w:r w:rsidRPr="00394A2C">
        <w:rPr>
          <w:color w:val="800080" w:themeColor="accent3"/>
        </w:rPr>
        <w:t xml:space="preserve"> Energy Use by Alternative and Study Year</w:t>
      </w:r>
    </w:p>
    <w:tbl>
      <w:tblPr>
        <w:tblStyle w:val="TableGrid"/>
        <w:tblW w:w="10165" w:type="dxa"/>
        <w:tblLook w:val="0020" w:firstRow="1" w:lastRow="0" w:firstColumn="0" w:lastColumn="0" w:noHBand="0" w:noVBand="0"/>
        <w:tblCaption w:val="Annual Direct and Indirect Maintenance and Operations Energy Use by Alternative and Study Year"/>
        <w:tblDescription w:val="A table with example results for direct, indirect, and total energy consumption, and the change in total energy from 2023 existing conditions and no-build conditions for each alternative and study year."/>
      </w:tblPr>
      <w:tblGrid>
        <w:gridCol w:w="2667"/>
        <w:gridCol w:w="1217"/>
        <w:gridCol w:w="1317"/>
        <w:gridCol w:w="1558"/>
        <w:gridCol w:w="1702"/>
        <w:gridCol w:w="1704"/>
      </w:tblGrid>
      <w:tr w:rsidR="00827D49" w:rsidRPr="00936B73" w14:paraId="125238FB" w14:textId="77777777" w:rsidTr="008871F7">
        <w:trPr>
          <w:cantSplit/>
        </w:trPr>
        <w:tc>
          <w:tcPr>
            <w:tcW w:w="2667" w:type="dxa"/>
          </w:tcPr>
          <w:p w14:paraId="36E2784C" w14:textId="77777777" w:rsidR="001E3ECA" w:rsidRPr="00936B73" w:rsidRDefault="001E3ECA" w:rsidP="00E4462A">
            <w:pPr>
              <w:pStyle w:val="TableHeading"/>
              <w:rPr>
                <w:color w:val="800080" w:themeColor="accent3"/>
              </w:rPr>
            </w:pPr>
            <w:r>
              <w:rPr>
                <w:color w:val="800080" w:themeColor="accent3"/>
              </w:rPr>
              <w:t>Alternative and Study Year</w:t>
            </w:r>
          </w:p>
        </w:tc>
        <w:tc>
          <w:tcPr>
            <w:tcW w:w="1217" w:type="dxa"/>
          </w:tcPr>
          <w:p w14:paraId="292DD381" w14:textId="77777777" w:rsidR="001E3ECA" w:rsidRPr="00936B73" w:rsidRDefault="001E3ECA" w:rsidP="00E4462A">
            <w:pPr>
              <w:pStyle w:val="TableHeading"/>
              <w:rPr>
                <w:color w:val="800080" w:themeColor="accent3"/>
              </w:rPr>
            </w:pPr>
            <w:r w:rsidRPr="001E3ECA">
              <w:rPr>
                <w:color w:val="800080" w:themeColor="accent3"/>
              </w:rPr>
              <w:t>Direct (million BTU)</w:t>
            </w:r>
          </w:p>
        </w:tc>
        <w:tc>
          <w:tcPr>
            <w:tcW w:w="1317" w:type="dxa"/>
          </w:tcPr>
          <w:p w14:paraId="5E17B1CF" w14:textId="77777777" w:rsidR="001E3ECA" w:rsidRPr="00936B73" w:rsidRDefault="001E3ECA" w:rsidP="00E4462A">
            <w:pPr>
              <w:pStyle w:val="TableHeading"/>
              <w:rPr>
                <w:color w:val="800080" w:themeColor="accent3"/>
              </w:rPr>
            </w:pPr>
            <w:r w:rsidRPr="001E3ECA">
              <w:rPr>
                <w:color w:val="800080" w:themeColor="accent3"/>
              </w:rPr>
              <w:t>Indirect (million BTU)</w:t>
            </w:r>
          </w:p>
        </w:tc>
        <w:tc>
          <w:tcPr>
            <w:tcW w:w="1558" w:type="dxa"/>
          </w:tcPr>
          <w:p w14:paraId="4E0D4A02" w14:textId="77777777" w:rsidR="001E3ECA" w:rsidRPr="00936B73" w:rsidRDefault="001E3ECA" w:rsidP="00E4462A">
            <w:pPr>
              <w:pStyle w:val="TableHeading"/>
              <w:rPr>
                <w:color w:val="800080" w:themeColor="accent3"/>
              </w:rPr>
            </w:pPr>
            <w:r w:rsidRPr="001E3ECA">
              <w:rPr>
                <w:color w:val="800080" w:themeColor="accent3"/>
              </w:rPr>
              <w:t>Total (million BTU)</w:t>
            </w:r>
          </w:p>
        </w:tc>
        <w:tc>
          <w:tcPr>
            <w:tcW w:w="1702" w:type="dxa"/>
          </w:tcPr>
          <w:p w14:paraId="6EDD1992" w14:textId="77777777" w:rsidR="001E3ECA" w:rsidRPr="00936B73" w:rsidRDefault="001E3ECA" w:rsidP="00E4462A">
            <w:pPr>
              <w:pStyle w:val="TableHeading"/>
              <w:rPr>
                <w:color w:val="800080" w:themeColor="accent3"/>
              </w:rPr>
            </w:pPr>
            <w:r w:rsidRPr="001E3ECA">
              <w:rPr>
                <w:color w:val="800080" w:themeColor="accent3"/>
              </w:rPr>
              <w:t>Total Change from 2023 Existing (% Change)</w:t>
            </w:r>
          </w:p>
        </w:tc>
        <w:tc>
          <w:tcPr>
            <w:tcW w:w="1704" w:type="dxa"/>
          </w:tcPr>
          <w:p w14:paraId="332AF6FE" w14:textId="77777777" w:rsidR="001E3ECA" w:rsidRPr="00936B73" w:rsidRDefault="001E3ECA" w:rsidP="00E4462A">
            <w:pPr>
              <w:pStyle w:val="TableHeading"/>
              <w:rPr>
                <w:color w:val="800080" w:themeColor="accent3"/>
              </w:rPr>
            </w:pPr>
            <w:r w:rsidRPr="001E3ECA">
              <w:rPr>
                <w:color w:val="800080" w:themeColor="accent3"/>
              </w:rPr>
              <w:t>Total Change from No-Build (% Change)</w:t>
            </w:r>
          </w:p>
        </w:tc>
      </w:tr>
      <w:tr w:rsidR="00827D49" w:rsidRPr="00936B73" w14:paraId="3EB36FB0" w14:textId="77777777" w:rsidTr="008871F7">
        <w:trPr>
          <w:cantSplit/>
        </w:trPr>
        <w:tc>
          <w:tcPr>
            <w:tcW w:w="2667" w:type="dxa"/>
          </w:tcPr>
          <w:p w14:paraId="7760AC54" w14:textId="77777777" w:rsidR="001E3ECA" w:rsidRPr="00936B73" w:rsidRDefault="001E3ECA" w:rsidP="00E4462A">
            <w:pPr>
              <w:pStyle w:val="TableText"/>
              <w:rPr>
                <w:color w:val="800080" w:themeColor="accent3"/>
              </w:rPr>
            </w:pPr>
            <w:r>
              <w:rPr>
                <w:color w:val="800080" w:themeColor="accent3"/>
              </w:rPr>
              <w:t>2023 Existing Conditions</w:t>
            </w:r>
          </w:p>
        </w:tc>
        <w:tc>
          <w:tcPr>
            <w:tcW w:w="1217" w:type="dxa"/>
            <w:vAlign w:val="center"/>
          </w:tcPr>
          <w:p w14:paraId="52C006BB" w14:textId="77777777" w:rsidR="001E3ECA" w:rsidRPr="00936B73" w:rsidRDefault="001E3ECA" w:rsidP="00E4462A">
            <w:pPr>
              <w:pStyle w:val="TableText"/>
              <w:jc w:val="center"/>
              <w:rPr>
                <w:color w:val="800080" w:themeColor="accent3"/>
              </w:rPr>
            </w:pPr>
            <w:r>
              <w:rPr>
                <w:color w:val="800080" w:themeColor="accent3"/>
                <w:szCs w:val="20"/>
              </w:rPr>
              <w:t>14,890,545</w:t>
            </w:r>
          </w:p>
        </w:tc>
        <w:tc>
          <w:tcPr>
            <w:tcW w:w="1317" w:type="dxa"/>
            <w:vAlign w:val="center"/>
          </w:tcPr>
          <w:p w14:paraId="2BCF0349" w14:textId="77777777" w:rsidR="001E3ECA" w:rsidRPr="00936B73" w:rsidRDefault="001E3ECA" w:rsidP="00E4462A">
            <w:pPr>
              <w:pStyle w:val="TableText"/>
              <w:jc w:val="center"/>
              <w:rPr>
                <w:color w:val="800080" w:themeColor="accent3"/>
              </w:rPr>
            </w:pPr>
            <w:r>
              <w:rPr>
                <w:color w:val="800080"/>
                <w:szCs w:val="20"/>
              </w:rPr>
              <w:t>1,497</w:t>
            </w:r>
          </w:p>
        </w:tc>
        <w:tc>
          <w:tcPr>
            <w:tcW w:w="1558" w:type="dxa"/>
            <w:vAlign w:val="center"/>
          </w:tcPr>
          <w:p w14:paraId="3FBDC8B5" w14:textId="77777777" w:rsidR="001E3ECA" w:rsidRPr="00936B73" w:rsidRDefault="001E3ECA" w:rsidP="00E4462A">
            <w:pPr>
              <w:pStyle w:val="TableText"/>
              <w:jc w:val="center"/>
              <w:rPr>
                <w:color w:val="800080" w:themeColor="accent3"/>
              </w:rPr>
            </w:pPr>
            <w:r>
              <w:rPr>
                <w:color w:val="800080"/>
                <w:szCs w:val="20"/>
              </w:rPr>
              <w:t>14,892,042</w:t>
            </w:r>
          </w:p>
        </w:tc>
        <w:tc>
          <w:tcPr>
            <w:tcW w:w="1702" w:type="dxa"/>
            <w:vAlign w:val="center"/>
          </w:tcPr>
          <w:p w14:paraId="6EC9A2A4" w14:textId="44602473" w:rsidR="001E3ECA" w:rsidRPr="00936B73" w:rsidRDefault="00EE4C07" w:rsidP="00E4462A">
            <w:pPr>
              <w:pStyle w:val="TableText"/>
              <w:jc w:val="center"/>
              <w:rPr>
                <w:color w:val="800080" w:themeColor="accent3"/>
              </w:rPr>
            </w:pPr>
            <w:r w:rsidRPr="00A23112">
              <w:rPr>
                <w:color w:val="800080" w:themeColor="accent3"/>
              </w:rPr>
              <w:t>N/A</w:t>
            </w:r>
          </w:p>
        </w:tc>
        <w:tc>
          <w:tcPr>
            <w:tcW w:w="1704" w:type="dxa"/>
            <w:vAlign w:val="center"/>
          </w:tcPr>
          <w:p w14:paraId="48715414" w14:textId="37631889" w:rsidR="001E3ECA" w:rsidRPr="00936B73" w:rsidRDefault="00EE4C07" w:rsidP="00E4462A">
            <w:pPr>
              <w:pStyle w:val="TableText"/>
              <w:jc w:val="center"/>
              <w:rPr>
                <w:color w:val="800080" w:themeColor="accent3"/>
              </w:rPr>
            </w:pPr>
            <w:r w:rsidRPr="00A23112">
              <w:rPr>
                <w:color w:val="800080" w:themeColor="accent3"/>
              </w:rPr>
              <w:t>N/A</w:t>
            </w:r>
          </w:p>
        </w:tc>
      </w:tr>
      <w:tr w:rsidR="00827D49" w:rsidRPr="00936B73" w14:paraId="7011AA8C" w14:textId="77777777" w:rsidTr="008871F7">
        <w:trPr>
          <w:cantSplit/>
        </w:trPr>
        <w:tc>
          <w:tcPr>
            <w:tcW w:w="2667" w:type="dxa"/>
          </w:tcPr>
          <w:p w14:paraId="04D08669" w14:textId="77777777" w:rsidR="001E3ECA" w:rsidRPr="00936B73" w:rsidRDefault="001E3ECA" w:rsidP="00E4462A">
            <w:pPr>
              <w:pStyle w:val="TableText"/>
              <w:rPr>
                <w:color w:val="800080" w:themeColor="accent3"/>
              </w:rPr>
            </w:pPr>
            <w:r>
              <w:rPr>
                <w:color w:val="800080" w:themeColor="accent3"/>
              </w:rPr>
              <w:t xml:space="preserve">2025 No-Build Alternative </w:t>
            </w:r>
          </w:p>
        </w:tc>
        <w:tc>
          <w:tcPr>
            <w:tcW w:w="1217" w:type="dxa"/>
            <w:vAlign w:val="center"/>
          </w:tcPr>
          <w:p w14:paraId="4EC12AF5" w14:textId="77777777" w:rsidR="001E3ECA" w:rsidRPr="00936B73" w:rsidRDefault="001E3ECA" w:rsidP="00E4462A">
            <w:pPr>
              <w:pStyle w:val="TableText"/>
              <w:jc w:val="center"/>
              <w:rPr>
                <w:color w:val="800080" w:themeColor="accent3"/>
              </w:rPr>
            </w:pPr>
            <w:r>
              <w:rPr>
                <w:color w:val="800080" w:themeColor="accent3"/>
                <w:szCs w:val="20"/>
              </w:rPr>
              <w:t>15,157,291</w:t>
            </w:r>
          </w:p>
        </w:tc>
        <w:tc>
          <w:tcPr>
            <w:tcW w:w="1317" w:type="dxa"/>
            <w:vAlign w:val="center"/>
          </w:tcPr>
          <w:p w14:paraId="6399D769" w14:textId="6FB1018E" w:rsidR="001E3ECA" w:rsidRPr="00936B73" w:rsidRDefault="001E3ECA" w:rsidP="00E4462A">
            <w:pPr>
              <w:pStyle w:val="TableText"/>
              <w:jc w:val="center"/>
              <w:rPr>
                <w:color w:val="800080" w:themeColor="accent3"/>
              </w:rPr>
            </w:pPr>
            <w:r>
              <w:rPr>
                <w:color w:val="800080"/>
                <w:szCs w:val="20"/>
              </w:rPr>
              <w:t>1,</w:t>
            </w:r>
            <w:r w:rsidR="001F5C65">
              <w:rPr>
                <w:color w:val="800080"/>
                <w:szCs w:val="20"/>
              </w:rPr>
              <w:t>470</w:t>
            </w:r>
          </w:p>
        </w:tc>
        <w:tc>
          <w:tcPr>
            <w:tcW w:w="1558" w:type="dxa"/>
            <w:vAlign w:val="center"/>
          </w:tcPr>
          <w:p w14:paraId="1FE9D241" w14:textId="749590DB" w:rsidR="001E3ECA" w:rsidRPr="00936B73" w:rsidRDefault="001E3ECA" w:rsidP="00E4462A">
            <w:pPr>
              <w:pStyle w:val="TableText"/>
              <w:jc w:val="center"/>
              <w:rPr>
                <w:color w:val="800080" w:themeColor="accent3"/>
              </w:rPr>
            </w:pPr>
            <w:r>
              <w:rPr>
                <w:color w:val="800080"/>
                <w:szCs w:val="20"/>
              </w:rPr>
              <w:t>15,158,</w:t>
            </w:r>
            <w:r w:rsidR="001F5C65">
              <w:rPr>
                <w:color w:val="800080"/>
                <w:szCs w:val="20"/>
              </w:rPr>
              <w:t>760</w:t>
            </w:r>
          </w:p>
        </w:tc>
        <w:tc>
          <w:tcPr>
            <w:tcW w:w="1702" w:type="dxa"/>
            <w:vAlign w:val="center"/>
          </w:tcPr>
          <w:p w14:paraId="6833CBCC" w14:textId="28E30D88" w:rsidR="001E3ECA" w:rsidRPr="00936B73" w:rsidRDefault="001E3ECA" w:rsidP="00E4462A">
            <w:pPr>
              <w:pStyle w:val="TableText"/>
              <w:jc w:val="center"/>
              <w:rPr>
                <w:color w:val="800080" w:themeColor="accent3"/>
              </w:rPr>
            </w:pPr>
            <w:r>
              <w:rPr>
                <w:color w:val="800080" w:themeColor="accent3"/>
                <w:szCs w:val="20"/>
              </w:rPr>
              <w:t>266,</w:t>
            </w:r>
            <w:r w:rsidR="001F5C65">
              <w:rPr>
                <w:color w:val="800080" w:themeColor="accent3"/>
                <w:szCs w:val="20"/>
              </w:rPr>
              <w:t>718</w:t>
            </w:r>
            <w:r>
              <w:rPr>
                <w:color w:val="800080" w:themeColor="accent3"/>
                <w:szCs w:val="20"/>
              </w:rPr>
              <w:t xml:space="preserve"> (2%)</w:t>
            </w:r>
          </w:p>
        </w:tc>
        <w:tc>
          <w:tcPr>
            <w:tcW w:w="1704" w:type="dxa"/>
            <w:vAlign w:val="center"/>
          </w:tcPr>
          <w:p w14:paraId="261E3631" w14:textId="298AEA82" w:rsidR="001E3ECA" w:rsidRPr="00936B73" w:rsidRDefault="00EE4C07" w:rsidP="00E4462A">
            <w:pPr>
              <w:pStyle w:val="TableText"/>
              <w:jc w:val="center"/>
              <w:rPr>
                <w:color w:val="800080" w:themeColor="accent3"/>
              </w:rPr>
            </w:pPr>
            <w:r w:rsidRPr="00A23112">
              <w:rPr>
                <w:color w:val="800080" w:themeColor="accent3"/>
              </w:rPr>
              <w:t>N/A</w:t>
            </w:r>
          </w:p>
        </w:tc>
      </w:tr>
      <w:tr w:rsidR="00827D49" w:rsidRPr="00936B73" w14:paraId="4C318F33" w14:textId="77777777" w:rsidTr="008871F7">
        <w:trPr>
          <w:cantSplit/>
        </w:trPr>
        <w:tc>
          <w:tcPr>
            <w:tcW w:w="2667" w:type="dxa"/>
          </w:tcPr>
          <w:p w14:paraId="70C8B843" w14:textId="77777777" w:rsidR="001E3ECA" w:rsidRPr="00936B73" w:rsidRDefault="001E3ECA" w:rsidP="00E4462A">
            <w:pPr>
              <w:pStyle w:val="TableText"/>
              <w:rPr>
                <w:color w:val="800080" w:themeColor="accent3"/>
              </w:rPr>
            </w:pPr>
            <w:r>
              <w:rPr>
                <w:color w:val="800080" w:themeColor="accent3"/>
              </w:rPr>
              <w:t>2025 Alternative 1</w:t>
            </w:r>
          </w:p>
        </w:tc>
        <w:tc>
          <w:tcPr>
            <w:tcW w:w="1217" w:type="dxa"/>
            <w:vAlign w:val="center"/>
          </w:tcPr>
          <w:p w14:paraId="5F51E8D6" w14:textId="77777777" w:rsidR="001E3ECA" w:rsidRPr="00936B73" w:rsidRDefault="001E3ECA" w:rsidP="00E4462A">
            <w:pPr>
              <w:pStyle w:val="TableText"/>
              <w:jc w:val="center"/>
              <w:rPr>
                <w:color w:val="800080" w:themeColor="accent3"/>
              </w:rPr>
            </w:pPr>
            <w:r>
              <w:rPr>
                <w:color w:val="800080" w:themeColor="accent3"/>
                <w:szCs w:val="20"/>
              </w:rPr>
              <w:t>15,005,718</w:t>
            </w:r>
          </w:p>
        </w:tc>
        <w:tc>
          <w:tcPr>
            <w:tcW w:w="1317" w:type="dxa"/>
            <w:vAlign w:val="center"/>
          </w:tcPr>
          <w:p w14:paraId="645E3561" w14:textId="77777777" w:rsidR="001E3ECA" w:rsidRPr="00936B73" w:rsidRDefault="001E3ECA" w:rsidP="00E4462A">
            <w:pPr>
              <w:pStyle w:val="TableText"/>
              <w:jc w:val="center"/>
              <w:rPr>
                <w:color w:val="800080" w:themeColor="accent3"/>
              </w:rPr>
            </w:pPr>
            <w:r>
              <w:rPr>
                <w:color w:val="800080"/>
                <w:szCs w:val="20"/>
              </w:rPr>
              <w:t>1,359</w:t>
            </w:r>
          </w:p>
        </w:tc>
        <w:tc>
          <w:tcPr>
            <w:tcW w:w="1558" w:type="dxa"/>
            <w:vAlign w:val="center"/>
          </w:tcPr>
          <w:p w14:paraId="0D32A9B3" w14:textId="77777777" w:rsidR="001E3ECA" w:rsidRPr="00936B73" w:rsidRDefault="001E3ECA" w:rsidP="00E4462A">
            <w:pPr>
              <w:pStyle w:val="TableText"/>
              <w:jc w:val="center"/>
              <w:rPr>
                <w:color w:val="800080" w:themeColor="accent3"/>
              </w:rPr>
            </w:pPr>
            <w:r>
              <w:rPr>
                <w:color w:val="800080"/>
                <w:szCs w:val="20"/>
              </w:rPr>
              <w:t>15,007,077</w:t>
            </w:r>
          </w:p>
        </w:tc>
        <w:tc>
          <w:tcPr>
            <w:tcW w:w="1702" w:type="dxa"/>
            <w:vAlign w:val="center"/>
          </w:tcPr>
          <w:p w14:paraId="6BA4FB3C" w14:textId="77777777" w:rsidR="001E3ECA" w:rsidRPr="00936B73" w:rsidRDefault="001E3ECA" w:rsidP="00E4462A">
            <w:pPr>
              <w:pStyle w:val="TableText"/>
              <w:jc w:val="center"/>
              <w:rPr>
                <w:color w:val="800080" w:themeColor="accent3"/>
              </w:rPr>
            </w:pPr>
            <w:r>
              <w:rPr>
                <w:color w:val="800080" w:themeColor="accent3"/>
                <w:szCs w:val="20"/>
              </w:rPr>
              <w:t>115,035 (1%)</w:t>
            </w:r>
          </w:p>
        </w:tc>
        <w:tc>
          <w:tcPr>
            <w:tcW w:w="1704" w:type="dxa"/>
            <w:vAlign w:val="center"/>
          </w:tcPr>
          <w:p w14:paraId="33472A61" w14:textId="5153375F" w:rsidR="001E3ECA" w:rsidRPr="00936B73" w:rsidRDefault="001E3ECA" w:rsidP="00E4462A">
            <w:pPr>
              <w:pStyle w:val="TableText"/>
              <w:jc w:val="center"/>
              <w:rPr>
                <w:color w:val="800080" w:themeColor="accent3"/>
              </w:rPr>
            </w:pPr>
            <w:r>
              <w:rPr>
                <w:color w:val="800080" w:themeColor="accent3"/>
                <w:szCs w:val="20"/>
              </w:rPr>
              <w:t>-151,</w:t>
            </w:r>
            <w:r w:rsidR="005741C4">
              <w:rPr>
                <w:color w:val="800080" w:themeColor="accent3"/>
                <w:szCs w:val="20"/>
              </w:rPr>
              <w:t>684</w:t>
            </w:r>
            <w:r>
              <w:rPr>
                <w:color w:val="800080" w:themeColor="accent3"/>
                <w:szCs w:val="20"/>
              </w:rPr>
              <w:t xml:space="preserve"> (-1%)</w:t>
            </w:r>
          </w:p>
        </w:tc>
      </w:tr>
      <w:tr w:rsidR="00827D49" w:rsidRPr="00936B73" w14:paraId="0C12A681" w14:textId="77777777" w:rsidTr="008871F7">
        <w:trPr>
          <w:cantSplit/>
        </w:trPr>
        <w:tc>
          <w:tcPr>
            <w:tcW w:w="2667" w:type="dxa"/>
          </w:tcPr>
          <w:p w14:paraId="244F67B4" w14:textId="77777777" w:rsidR="001E3ECA" w:rsidRPr="00936B73" w:rsidRDefault="001E3ECA" w:rsidP="00E4462A">
            <w:pPr>
              <w:pStyle w:val="TableText"/>
              <w:rPr>
                <w:color w:val="800080" w:themeColor="accent3"/>
              </w:rPr>
            </w:pPr>
            <w:r>
              <w:rPr>
                <w:color w:val="800080" w:themeColor="accent3"/>
              </w:rPr>
              <w:t>2025 Alternative 2</w:t>
            </w:r>
          </w:p>
        </w:tc>
        <w:tc>
          <w:tcPr>
            <w:tcW w:w="1217" w:type="dxa"/>
            <w:vAlign w:val="center"/>
          </w:tcPr>
          <w:p w14:paraId="154A2582" w14:textId="77777777" w:rsidR="001E3ECA" w:rsidRPr="00936B73" w:rsidRDefault="001E3ECA" w:rsidP="00E4462A">
            <w:pPr>
              <w:pStyle w:val="TableText"/>
              <w:jc w:val="center"/>
              <w:rPr>
                <w:color w:val="800080" w:themeColor="accent3"/>
              </w:rPr>
            </w:pPr>
            <w:r>
              <w:rPr>
                <w:color w:val="800080" w:themeColor="accent3"/>
                <w:szCs w:val="20"/>
              </w:rPr>
              <w:t>15,004,202</w:t>
            </w:r>
          </w:p>
        </w:tc>
        <w:tc>
          <w:tcPr>
            <w:tcW w:w="1317" w:type="dxa"/>
            <w:vAlign w:val="center"/>
          </w:tcPr>
          <w:p w14:paraId="588D99C8" w14:textId="77777777" w:rsidR="001E3ECA" w:rsidRPr="00936B73" w:rsidRDefault="001E3ECA" w:rsidP="00E4462A">
            <w:pPr>
              <w:pStyle w:val="TableText"/>
              <w:jc w:val="center"/>
              <w:rPr>
                <w:color w:val="800080" w:themeColor="accent3"/>
              </w:rPr>
            </w:pPr>
            <w:r>
              <w:rPr>
                <w:color w:val="800080"/>
                <w:szCs w:val="20"/>
              </w:rPr>
              <w:t>1,359</w:t>
            </w:r>
          </w:p>
        </w:tc>
        <w:tc>
          <w:tcPr>
            <w:tcW w:w="1558" w:type="dxa"/>
            <w:vAlign w:val="center"/>
          </w:tcPr>
          <w:p w14:paraId="4B517847" w14:textId="77777777" w:rsidR="001E3ECA" w:rsidRPr="00936B73" w:rsidRDefault="001E3ECA" w:rsidP="00E4462A">
            <w:pPr>
              <w:pStyle w:val="TableText"/>
              <w:jc w:val="center"/>
              <w:rPr>
                <w:color w:val="800080" w:themeColor="accent3"/>
              </w:rPr>
            </w:pPr>
            <w:r>
              <w:rPr>
                <w:color w:val="800080"/>
                <w:szCs w:val="20"/>
              </w:rPr>
              <w:t>15,005,561</w:t>
            </w:r>
          </w:p>
        </w:tc>
        <w:tc>
          <w:tcPr>
            <w:tcW w:w="1702" w:type="dxa"/>
            <w:vAlign w:val="center"/>
          </w:tcPr>
          <w:p w14:paraId="0F8027D8" w14:textId="77777777" w:rsidR="001E3ECA" w:rsidRPr="00936B73" w:rsidRDefault="001E3ECA" w:rsidP="00E4462A">
            <w:pPr>
              <w:pStyle w:val="TableText"/>
              <w:jc w:val="center"/>
              <w:rPr>
                <w:color w:val="800080" w:themeColor="accent3"/>
              </w:rPr>
            </w:pPr>
            <w:r>
              <w:rPr>
                <w:color w:val="800080" w:themeColor="accent3"/>
                <w:szCs w:val="20"/>
              </w:rPr>
              <w:t>113,519 (1%)</w:t>
            </w:r>
          </w:p>
        </w:tc>
        <w:tc>
          <w:tcPr>
            <w:tcW w:w="1704" w:type="dxa"/>
            <w:vAlign w:val="center"/>
          </w:tcPr>
          <w:p w14:paraId="42853A19" w14:textId="00800F8F" w:rsidR="001E3ECA" w:rsidRPr="00936B73" w:rsidRDefault="001E3ECA" w:rsidP="00E4462A">
            <w:pPr>
              <w:pStyle w:val="TableText"/>
              <w:jc w:val="center"/>
              <w:rPr>
                <w:color w:val="800080" w:themeColor="accent3"/>
              </w:rPr>
            </w:pPr>
            <w:r>
              <w:rPr>
                <w:color w:val="800080" w:themeColor="accent3"/>
                <w:szCs w:val="20"/>
              </w:rPr>
              <w:t>-153,</w:t>
            </w:r>
            <w:r w:rsidR="005741C4">
              <w:rPr>
                <w:color w:val="800080" w:themeColor="accent3"/>
                <w:szCs w:val="20"/>
              </w:rPr>
              <w:t>199</w:t>
            </w:r>
            <w:r>
              <w:rPr>
                <w:color w:val="800080" w:themeColor="accent3"/>
                <w:szCs w:val="20"/>
              </w:rPr>
              <w:t xml:space="preserve"> (-1%)</w:t>
            </w:r>
          </w:p>
        </w:tc>
      </w:tr>
      <w:tr w:rsidR="00827D49" w:rsidRPr="00936B73" w14:paraId="0F9D0C2D" w14:textId="77777777" w:rsidTr="008871F7">
        <w:trPr>
          <w:cantSplit/>
        </w:trPr>
        <w:tc>
          <w:tcPr>
            <w:tcW w:w="2667" w:type="dxa"/>
          </w:tcPr>
          <w:p w14:paraId="428A5909" w14:textId="77777777" w:rsidR="001E3ECA" w:rsidRPr="00936B73" w:rsidRDefault="001E3ECA" w:rsidP="00E4462A">
            <w:pPr>
              <w:pStyle w:val="TableText"/>
              <w:rPr>
                <w:color w:val="800080" w:themeColor="accent3"/>
              </w:rPr>
            </w:pPr>
            <w:r>
              <w:rPr>
                <w:color w:val="800080" w:themeColor="accent3"/>
              </w:rPr>
              <w:t xml:space="preserve">2045 No-Build Alternative </w:t>
            </w:r>
          </w:p>
        </w:tc>
        <w:tc>
          <w:tcPr>
            <w:tcW w:w="1217" w:type="dxa"/>
            <w:vAlign w:val="center"/>
          </w:tcPr>
          <w:p w14:paraId="5086949F" w14:textId="77777777" w:rsidR="001E3ECA" w:rsidRPr="00936B73" w:rsidRDefault="001E3ECA" w:rsidP="00E4462A">
            <w:pPr>
              <w:pStyle w:val="TableText"/>
              <w:jc w:val="center"/>
              <w:rPr>
                <w:color w:val="800080" w:themeColor="accent3"/>
              </w:rPr>
            </w:pPr>
            <w:r>
              <w:rPr>
                <w:color w:val="800080" w:themeColor="accent3"/>
                <w:szCs w:val="20"/>
              </w:rPr>
              <w:t>16,682,615</w:t>
            </w:r>
          </w:p>
        </w:tc>
        <w:tc>
          <w:tcPr>
            <w:tcW w:w="1317" w:type="dxa"/>
            <w:vAlign w:val="center"/>
          </w:tcPr>
          <w:p w14:paraId="5600763F" w14:textId="4BE17E78" w:rsidR="001E3ECA" w:rsidRPr="00936B73" w:rsidRDefault="001F5C65" w:rsidP="00E4462A">
            <w:pPr>
              <w:pStyle w:val="TableText"/>
              <w:jc w:val="center"/>
              <w:rPr>
                <w:color w:val="800080" w:themeColor="accent3"/>
              </w:rPr>
            </w:pPr>
            <w:r>
              <w:rPr>
                <w:color w:val="800080"/>
                <w:szCs w:val="20"/>
              </w:rPr>
              <w:t>1,050</w:t>
            </w:r>
          </w:p>
        </w:tc>
        <w:tc>
          <w:tcPr>
            <w:tcW w:w="1558" w:type="dxa"/>
            <w:vAlign w:val="center"/>
          </w:tcPr>
          <w:p w14:paraId="6AC52A99" w14:textId="24BDB12A" w:rsidR="001E3ECA" w:rsidRPr="00936B73" w:rsidRDefault="001E3ECA" w:rsidP="00E4462A">
            <w:pPr>
              <w:pStyle w:val="TableText"/>
              <w:jc w:val="center"/>
              <w:rPr>
                <w:color w:val="800080" w:themeColor="accent3"/>
              </w:rPr>
            </w:pPr>
            <w:r>
              <w:rPr>
                <w:color w:val="800080"/>
                <w:szCs w:val="20"/>
              </w:rPr>
              <w:t>16,683,</w:t>
            </w:r>
            <w:r w:rsidR="005741C4">
              <w:rPr>
                <w:color w:val="800080"/>
                <w:szCs w:val="20"/>
              </w:rPr>
              <w:t>665</w:t>
            </w:r>
          </w:p>
        </w:tc>
        <w:tc>
          <w:tcPr>
            <w:tcW w:w="1702" w:type="dxa"/>
            <w:vAlign w:val="center"/>
          </w:tcPr>
          <w:p w14:paraId="29001603" w14:textId="1C4268F5" w:rsidR="001E3ECA" w:rsidRPr="00936B73" w:rsidRDefault="001E3ECA" w:rsidP="00E4462A">
            <w:pPr>
              <w:pStyle w:val="TableText"/>
              <w:jc w:val="center"/>
              <w:rPr>
                <w:color w:val="800080" w:themeColor="accent3"/>
              </w:rPr>
            </w:pPr>
            <w:r>
              <w:rPr>
                <w:color w:val="800080" w:themeColor="accent3"/>
                <w:szCs w:val="20"/>
              </w:rPr>
              <w:t>1,791,</w:t>
            </w:r>
            <w:r w:rsidR="005741C4">
              <w:rPr>
                <w:color w:val="800080" w:themeColor="accent3"/>
                <w:szCs w:val="20"/>
              </w:rPr>
              <w:t xml:space="preserve">623 </w:t>
            </w:r>
            <w:r>
              <w:rPr>
                <w:color w:val="800080" w:themeColor="accent3"/>
                <w:szCs w:val="20"/>
              </w:rPr>
              <w:t>(12%)</w:t>
            </w:r>
          </w:p>
        </w:tc>
        <w:tc>
          <w:tcPr>
            <w:tcW w:w="1704" w:type="dxa"/>
            <w:vAlign w:val="center"/>
          </w:tcPr>
          <w:p w14:paraId="03593042" w14:textId="3AC14A88" w:rsidR="001E3ECA" w:rsidRPr="00936B73" w:rsidRDefault="00EE4C07" w:rsidP="00E4462A">
            <w:pPr>
              <w:pStyle w:val="TableText"/>
              <w:jc w:val="center"/>
              <w:rPr>
                <w:color w:val="800080" w:themeColor="accent3"/>
              </w:rPr>
            </w:pPr>
            <w:r w:rsidRPr="00A23112">
              <w:rPr>
                <w:color w:val="800080" w:themeColor="accent3"/>
              </w:rPr>
              <w:t>N/A</w:t>
            </w:r>
          </w:p>
        </w:tc>
      </w:tr>
      <w:tr w:rsidR="00827D49" w:rsidRPr="00936B73" w14:paraId="6146745A" w14:textId="77777777" w:rsidTr="008871F7">
        <w:trPr>
          <w:cantSplit/>
        </w:trPr>
        <w:tc>
          <w:tcPr>
            <w:tcW w:w="2667" w:type="dxa"/>
          </w:tcPr>
          <w:p w14:paraId="16E8D6AB" w14:textId="77777777" w:rsidR="001E3ECA" w:rsidRPr="00936B73" w:rsidRDefault="001E3ECA" w:rsidP="00E4462A">
            <w:pPr>
              <w:pStyle w:val="TableText"/>
              <w:rPr>
                <w:color w:val="800080" w:themeColor="accent3"/>
              </w:rPr>
            </w:pPr>
            <w:r>
              <w:rPr>
                <w:color w:val="800080" w:themeColor="accent3"/>
              </w:rPr>
              <w:t>2045 Alternative 1</w:t>
            </w:r>
          </w:p>
        </w:tc>
        <w:tc>
          <w:tcPr>
            <w:tcW w:w="1217" w:type="dxa"/>
            <w:vAlign w:val="center"/>
          </w:tcPr>
          <w:p w14:paraId="7D801A0F" w14:textId="77777777" w:rsidR="001E3ECA" w:rsidRPr="00936B73" w:rsidRDefault="001E3ECA" w:rsidP="00E4462A">
            <w:pPr>
              <w:pStyle w:val="TableText"/>
              <w:jc w:val="center"/>
              <w:rPr>
                <w:color w:val="800080" w:themeColor="accent3"/>
              </w:rPr>
            </w:pPr>
            <w:r>
              <w:rPr>
                <w:color w:val="800080" w:themeColor="accent3"/>
                <w:szCs w:val="20"/>
              </w:rPr>
              <w:t>16,515,789</w:t>
            </w:r>
          </w:p>
        </w:tc>
        <w:tc>
          <w:tcPr>
            <w:tcW w:w="1317" w:type="dxa"/>
            <w:vAlign w:val="center"/>
          </w:tcPr>
          <w:p w14:paraId="3674BDA4" w14:textId="77777777" w:rsidR="001E3ECA" w:rsidRPr="00936B73" w:rsidRDefault="001E3ECA" w:rsidP="00E4462A">
            <w:pPr>
              <w:pStyle w:val="TableText"/>
              <w:jc w:val="center"/>
              <w:rPr>
                <w:color w:val="800080" w:themeColor="accent3"/>
              </w:rPr>
            </w:pPr>
            <w:r>
              <w:rPr>
                <w:color w:val="800080"/>
                <w:szCs w:val="20"/>
              </w:rPr>
              <w:t>872</w:t>
            </w:r>
          </w:p>
        </w:tc>
        <w:tc>
          <w:tcPr>
            <w:tcW w:w="1558" w:type="dxa"/>
            <w:vAlign w:val="center"/>
          </w:tcPr>
          <w:p w14:paraId="379C10B9" w14:textId="77777777" w:rsidR="001E3ECA" w:rsidRPr="00936B73" w:rsidRDefault="001E3ECA" w:rsidP="00E4462A">
            <w:pPr>
              <w:pStyle w:val="TableText"/>
              <w:jc w:val="center"/>
              <w:rPr>
                <w:color w:val="800080" w:themeColor="accent3"/>
              </w:rPr>
            </w:pPr>
            <w:r>
              <w:rPr>
                <w:color w:val="800080"/>
                <w:szCs w:val="20"/>
              </w:rPr>
              <w:t>16,516,661</w:t>
            </w:r>
          </w:p>
        </w:tc>
        <w:tc>
          <w:tcPr>
            <w:tcW w:w="1702" w:type="dxa"/>
            <w:vAlign w:val="center"/>
          </w:tcPr>
          <w:p w14:paraId="793A625E" w14:textId="77777777" w:rsidR="001E3ECA" w:rsidRPr="00936B73" w:rsidRDefault="001E3ECA" w:rsidP="00E4462A">
            <w:pPr>
              <w:pStyle w:val="TableText"/>
              <w:jc w:val="center"/>
              <w:rPr>
                <w:color w:val="800080" w:themeColor="accent3"/>
              </w:rPr>
            </w:pPr>
            <w:r>
              <w:rPr>
                <w:color w:val="800080" w:themeColor="accent3"/>
                <w:szCs w:val="20"/>
              </w:rPr>
              <w:t>1,624,619 (11%)</w:t>
            </w:r>
          </w:p>
        </w:tc>
        <w:tc>
          <w:tcPr>
            <w:tcW w:w="1704" w:type="dxa"/>
            <w:vAlign w:val="center"/>
          </w:tcPr>
          <w:p w14:paraId="4FDCB632" w14:textId="70D9C559" w:rsidR="001E3ECA" w:rsidRPr="00936B73" w:rsidRDefault="001E3ECA" w:rsidP="00E4462A">
            <w:pPr>
              <w:pStyle w:val="TableText"/>
              <w:jc w:val="center"/>
              <w:rPr>
                <w:color w:val="800080" w:themeColor="accent3"/>
              </w:rPr>
            </w:pPr>
            <w:r>
              <w:rPr>
                <w:color w:val="800080" w:themeColor="accent3"/>
                <w:szCs w:val="20"/>
              </w:rPr>
              <w:t>-16</w:t>
            </w:r>
            <w:r w:rsidR="005741C4">
              <w:rPr>
                <w:color w:val="800080" w:themeColor="accent3"/>
                <w:szCs w:val="20"/>
              </w:rPr>
              <w:t>7</w:t>
            </w:r>
            <w:r>
              <w:rPr>
                <w:color w:val="800080" w:themeColor="accent3"/>
                <w:szCs w:val="20"/>
              </w:rPr>
              <w:t>,</w:t>
            </w:r>
            <w:r w:rsidR="005741C4">
              <w:rPr>
                <w:color w:val="800080" w:themeColor="accent3"/>
                <w:szCs w:val="20"/>
              </w:rPr>
              <w:t>004</w:t>
            </w:r>
            <w:r>
              <w:rPr>
                <w:color w:val="800080" w:themeColor="accent3"/>
                <w:szCs w:val="20"/>
              </w:rPr>
              <w:t xml:space="preserve"> (-1%)</w:t>
            </w:r>
          </w:p>
        </w:tc>
      </w:tr>
      <w:tr w:rsidR="00827D49" w:rsidRPr="00936B73" w14:paraId="49494E2E" w14:textId="77777777" w:rsidTr="008871F7">
        <w:trPr>
          <w:cantSplit/>
        </w:trPr>
        <w:tc>
          <w:tcPr>
            <w:tcW w:w="2667" w:type="dxa"/>
          </w:tcPr>
          <w:p w14:paraId="66EA98E1" w14:textId="77777777" w:rsidR="001E3ECA" w:rsidRPr="00936B73" w:rsidRDefault="001E3ECA" w:rsidP="00E4462A">
            <w:pPr>
              <w:pStyle w:val="TableText"/>
              <w:rPr>
                <w:color w:val="800080" w:themeColor="accent3"/>
              </w:rPr>
            </w:pPr>
            <w:r>
              <w:rPr>
                <w:color w:val="800080" w:themeColor="accent3"/>
              </w:rPr>
              <w:t>2045 Alternative 2</w:t>
            </w:r>
          </w:p>
        </w:tc>
        <w:tc>
          <w:tcPr>
            <w:tcW w:w="1217" w:type="dxa"/>
            <w:vAlign w:val="center"/>
          </w:tcPr>
          <w:p w14:paraId="50F7D710" w14:textId="77777777" w:rsidR="001E3ECA" w:rsidRPr="00936B73" w:rsidRDefault="001E3ECA" w:rsidP="00E4462A">
            <w:pPr>
              <w:pStyle w:val="TableText"/>
              <w:jc w:val="center"/>
              <w:rPr>
                <w:color w:val="800080" w:themeColor="accent3"/>
              </w:rPr>
            </w:pPr>
            <w:r>
              <w:rPr>
                <w:color w:val="800080" w:themeColor="accent3"/>
                <w:szCs w:val="20"/>
              </w:rPr>
              <w:t>16,514,121</w:t>
            </w:r>
          </w:p>
        </w:tc>
        <w:tc>
          <w:tcPr>
            <w:tcW w:w="1317" w:type="dxa"/>
            <w:vAlign w:val="center"/>
          </w:tcPr>
          <w:p w14:paraId="4F026D29" w14:textId="77777777" w:rsidR="001E3ECA" w:rsidRPr="00936B73" w:rsidRDefault="001E3ECA" w:rsidP="00E4462A">
            <w:pPr>
              <w:pStyle w:val="TableText"/>
              <w:jc w:val="center"/>
              <w:rPr>
                <w:color w:val="800080" w:themeColor="accent3"/>
              </w:rPr>
            </w:pPr>
            <w:r>
              <w:rPr>
                <w:color w:val="800080"/>
                <w:szCs w:val="20"/>
              </w:rPr>
              <w:t>872</w:t>
            </w:r>
          </w:p>
        </w:tc>
        <w:tc>
          <w:tcPr>
            <w:tcW w:w="1558" w:type="dxa"/>
            <w:vAlign w:val="center"/>
          </w:tcPr>
          <w:p w14:paraId="2B228A66" w14:textId="77777777" w:rsidR="001E3ECA" w:rsidRPr="00936B73" w:rsidRDefault="001E3ECA" w:rsidP="00E4462A">
            <w:pPr>
              <w:pStyle w:val="TableText"/>
              <w:jc w:val="center"/>
              <w:rPr>
                <w:color w:val="800080" w:themeColor="accent3"/>
              </w:rPr>
            </w:pPr>
            <w:r>
              <w:rPr>
                <w:color w:val="800080"/>
                <w:szCs w:val="20"/>
              </w:rPr>
              <w:t>16,514,992</w:t>
            </w:r>
          </w:p>
        </w:tc>
        <w:tc>
          <w:tcPr>
            <w:tcW w:w="1702" w:type="dxa"/>
            <w:vAlign w:val="center"/>
          </w:tcPr>
          <w:p w14:paraId="67242FFD" w14:textId="77777777" w:rsidR="001E3ECA" w:rsidRPr="00936B73" w:rsidRDefault="001E3ECA" w:rsidP="00E4462A">
            <w:pPr>
              <w:pStyle w:val="TableText"/>
              <w:jc w:val="center"/>
              <w:rPr>
                <w:color w:val="800080" w:themeColor="accent3"/>
              </w:rPr>
            </w:pPr>
            <w:r>
              <w:rPr>
                <w:color w:val="800080" w:themeColor="accent3"/>
                <w:szCs w:val="20"/>
              </w:rPr>
              <w:t>1,622,950 (11%)</w:t>
            </w:r>
          </w:p>
        </w:tc>
        <w:tc>
          <w:tcPr>
            <w:tcW w:w="1704" w:type="dxa"/>
            <w:vAlign w:val="center"/>
          </w:tcPr>
          <w:p w14:paraId="7251DAF1" w14:textId="6D74E117" w:rsidR="001E3ECA" w:rsidRPr="00936B73" w:rsidRDefault="001E3ECA" w:rsidP="00E4462A">
            <w:pPr>
              <w:pStyle w:val="TableText"/>
              <w:jc w:val="center"/>
              <w:rPr>
                <w:color w:val="800080" w:themeColor="accent3"/>
              </w:rPr>
            </w:pPr>
            <w:r>
              <w:rPr>
                <w:color w:val="800080" w:themeColor="accent3"/>
                <w:szCs w:val="20"/>
              </w:rPr>
              <w:t>-168,</w:t>
            </w:r>
            <w:r w:rsidR="00AE5B91">
              <w:rPr>
                <w:color w:val="800080" w:themeColor="accent3"/>
                <w:szCs w:val="20"/>
              </w:rPr>
              <w:t>673</w:t>
            </w:r>
            <w:r>
              <w:rPr>
                <w:color w:val="800080" w:themeColor="accent3"/>
                <w:szCs w:val="20"/>
              </w:rPr>
              <w:t xml:space="preserve"> (-1%)</w:t>
            </w:r>
          </w:p>
        </w:tc>
      </w:tr>
    </w:tbl>
    <w:p w14:paraId="725C9B54" w14:textId="2D61610F" w:rsidR="001E3ECA" w:rsidRDefault="001E3ECA" w:rsidP="001E3ECA">
      <w:pPr>
        <w:pStyle w:val="TableText"/>
        <w:rPr>
          <w:color w:val="800080" w:themeColor="accent3"/>
        </w:rPr>
      </w:pPr>
      <w:r w:rsidRPr="00936B73">
        <w:rPr>
          <w:color w:val="800080" w:themeColor="accent3"/>
        </w:rPr>
        <w:t xml:space="preserve">Source: </w:t>
      </w:r>
      <w:r>
        <w:rPr>
          <w:color w:val="800080" w:themeColor="accent3"/>
        </w:rPr>
        <w:t>Refer to Tables 4-4, 4-6, and 4-7</w:t>
      </w:r>
    </w:p>
    <w:p w14:paraId="600BF9BD" w14:textId="37EC0FA4" w:rsidR="00472599" w:rsidRDefault="001E3ECA" w:rsidP="00F57551">
      <w:pPr>
        <w:pStyle w:val="TableText"/>
        <w:spacing w:after="240"/>
        <w:rPr>
          <w:color w:val="800080" w:themeColor="accent3"/>
        </w:rPr>
      </w:pPr>
      <w:r>
        <w:rPr>
          <w:color w:val="800080" w:themeColor="accent3"/>
        </w:rPr>
        <w:t xml:space="preserve">Note: </w:t>
      </w:r>
      <w:r w:rsidR="00EE4C07" w:rsidRPr="00EE4C07">
        <w:rPr>
          <w:color w:val="800080" w:themeColor="accent3"/>
        </w:rPr>
        <w:t>N/A</w:t>
      </w:r>
      <w:r w:rsidRPr="004E5FA9">
        <w:rPr>
          <w:color w:val="800080" w:themeColor="accent3"/>
        </w:rPr>
        <w:t xml:space="preserve"> = comparison not applicable</w:t>
      </w:r>
      <w:r>
        <w:rPr>
          <w:color w:val="800080" w:themeColor="accent3"/>
        </w:rPr>
        <w:t>.</w:t>
      </w:r>
      <w:r w:rsidR="008072F6">
        <w:rPr>
          <w:color w:val="800080" w:themeColor="accent3"/>
        </w:rPr>
        <w:t xml:space="preserve"> </w:t>
      </w:r>
      <w:r w:rsidR="003603E1">
        <w:rPr>
          <w:color w:val="800080" w:themeColor="accent3"/>
        </w:rPr>
        <w:t xml:space="preserve"> </w:t>
      </w:r>
      <w:r w:rsidR="00867081" w:rsidRPr="00867081">
        <w:rPr>
          <w:color w:val="800080" w:themeColor="accent3"/>
        </w:rPr>
        <w:t>Total values may not add from the individual components in prior tables due to rounding</w:t>
      </w:r>
      <w:r w:rsidR="00867081">
        <w:rPr>
          <w:color w:val="800080" w:themeColor="accent3"/>
        </w:rPr>
        <w:t xml:space="preserve">. </w:t>
      </w:r>
      <w:r w:rsidR="00867081" w:rsidRPr="00867081">
        <w:rPr>
          <w:b/>
          <w:bCs/>
          <w:color w:val="800080" w:themeColor="accent3"/>
        </w:rPr>
        <w:t xml:space="preserve"> </w:t>
      </w:r>
      <w:r w:rsidR="008072F6" w:rsidRPr="00752C53">
        <w:rPr>
          <w:b/>
          <w:bCs/>
          <w:color w:val="0000FF" w:themeColor="accent1"/>
        </w:rPr>
        <w:t xml:space="preserve">[End </w:t>
      </w:r>
      <w:r w:rsidR="008072F6" w:rsidRPr="00207B23">
        <w:rPr>
          <w:b/>
          <w:bCs/>
          <w:color w:val="0000FF" w:themeColor="accent1"/>
        </w:rPr>
        <w:t>example</w:t>
      </w:r>
      <w:r w:rsidR="008072F6" w:rsidRPr="00752C53">
        <w:rPr>
          <w:b/>
          <w:bCs/>
          <w:color w:val="0000FF" w:themeColor="accent1"/>
        </w:rPr>
        <w:t>]</w:t>
      </w:r>
    </w:p>
    <w:p w14:paraId="0706F265" w14:textId="5F87852B" w:rsidR="00DB519D" w:rsidRPr="008072F6" w:rsidRDefault="00DB519D" w:rsidP="008072F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F7BD3D8" w14:textId="2A05C798" w:rsidR="0099598E" w:rsidRPr="00957086" w:rsidRDefault="0099598E" w:rsidP="0099598E">
      <w:pPr>
        <w:pStyle w:val="Heading2"/>
      </w:pPr>
      <w:bookmarkStart w:id="159" w:name="_Toc157429597"/>
      <w:r>
        <w:t>Consistency with Energy Regulations, Policies, and Legislation</w:t>
      </w:r>
      <w:bookmarkEnd w:id="157"/>
      <w:bookmarkEnd w:id="159"/>
      <w:r>
        <w:t xml:space="preserve">  </w:t>
      </w:r>
      <w:r w:rsidRPr="006C2162">
        <w:rPr>
          <w:i/>
          <w:iCs/>
        </w:rPr>
        <w:t xml:space="preserve"> </w:t>
      </w:r>
    </w:p>
    <w:p w14:paraId="0F7038D9" w14:textId="77777777" w:rsidR="0023013B" w:rsidRDefault="0023013B" w:rsidP="0023013B">
      <w:pPr>
        <w:pStyle w:val="IntroGuidanceHeading1"/>
      </w:pPr>
      <w:r>
        <w:t>GUIDANCE</w:t>
      </w:r>
    </w:p>
    <w:p w14:paraId="5F4187B0" w14:textId="77777777" w:rsidR="0023013B" w:rsidRPr="00F81D87" w:rsidRDefault="0023013B" w:rsidP="0023013B">
      <w:pPr>
        <w:rPr>
          <w:color w:val="0000FF" w:themeColor="accent1"/>
        </w:rPr>
      </w:pPr>
      <w:r w:rsidRPr="00F81D87">
        <w:rPr>
          <w:color w:val="0000FF" w:themeColor="accent1"/>
        </w:rPr>
        <w:t xml:space="preserve">Begin with the following boilerplate. </w:t>
      </w:r>
    </w:p>
    <w:p w14:paraId="5523ACA8" w14:textId="5DF8DDCF" w:rsidR="0071365D" w:rsidRPr="0071365D" w:rsidRDefault="0071365D" w:rsidP="0071365D">
      <w:r w:rsidRPr="0071365D">
        <w:rPr>
          <w:color w:val="A50021" w:themeColor="accent2"/>
        </w:rPr>
        <w:t xml:space="preserve">Federal, state, and local energy policies, regulations, and plans applicable to the transportation sector and the proposed project are summarized in Chapter 2, </w:t>
      </w:r>
      <w:r w:rsidRPr="0071365D">
        <w:rPr>
          <w:i/>
          <w:iCs/>
          <w:color w:val="A50021" w:themeColor="accent2"/>
        </w:rPr>
        <w:t>Regulatory Setting</w:t>
      </w:r>
      <w:r w:rsidR="00D41864" w:rsidRPr="0071365D">
        <w:rPr>
          <w:color w:val="A50021" w:themeColor="accent2"/>
        </w:rPr>
        <w:t xml:space="preserve">.  </w:t>
      </w:r>
      <w:r w:rsidRPr="0071365D">
        <w:rPr>
          <w:color w:val="A50021" w:themeColor="accent2"/>
        </w:rPr>
        <w:t xml:space="preserve">At a </w:t>
      </w:r>
      <w:r w:rsidR="00B840D4">
        <w:rPr>
          <w:color w:val="A50021" w:themeColor="accent2"/>
        </w:rPr>
        <w:t>bro</w:t>
      </w:r>
      <w:r w:rsidR="0012545E">
        <w:rPr>
          <w:color w:val="A50021" w:themeColor="accent2"/>
        </w:rPr>
        <w:t>ad</w:t>
      </w:r>
      <w:r w:rsidR="00B840D4" w:rsidRPr="0071365D">
        <w:rPr>
          <w:color w:val="A50021" w:themeColor="accent2"/>
        </w:rPr>
        <w:t xml:space="preserve"> </w:t>
      </w:r>
      <w:r w:rsidRPr="0071365D">
        <w:rPr>
          <w:color w:val="A50021" w:themeColor="accent2"/>
        </w:rPr>
        <w:t>level, the regulatory context for energy resources targets energy efficiency (i.e., using less energy for the same amount of power) and renewable resources (i.e., reducing consumption of non-renewable resources, such as fossil fuels).  Energy-e</w:t>
      </w:r>
      <w:r w:rsidRPr="0071365D">
        <w:rPr>
          <w:iCs/>
          <w:color w:val="A50021" w:themeColor="accent2"/>
        </w:rPr>
        <w:t>fficient projects that incorporate conservation measures facilitate long-term energy planning and avoid the need for unplanned or additional energy capacity.</w:t>
      </w:r>
      <w:r w:rsidRPr="0071365D">
        <w:rPr>
          <w:color w:val="A50021" w:themeColor="accent2"/>
        </w:rPr>
        <w:t xml:space="preserve">  Projects that support renewable energy, either directly (e.g., installing </w:t>
      </w:r>
      <w:r w:rsidR="004F24C2">
        <w:rPr>
          <w:color w:val="A50021" w:themeColor="accent2"/>
        </w:rPr>
        <w:t>electric vehicle</w:t>
      </w:r>
      <w:r w:rsidRPr="0071365D">
        <w:rPr>
          <w:color w:val="A50021" w:themeColor="accent2"/>
        </w:rPr>
        <w:t xml:space="preserve"> chargers, shifting the mode of travel to active forms of transportation) or indirectly </w:t>
      </w:r>
      <w:r w:rsidR="00B67A46">
        <w:rPr>
          <w:color w:val="A50021" w:themeColor="accent2"/>
        </w:rPr>
        <w:t>(</w:t>
      </w:r>
      <w:r w:rsidRPr="0071365D">
        <w:rPr>
          <w:color w:val="A50021" w:themeColor="accent2"/>
        </w:rPr>
        <w:t>by complying with state and local renewable standards</w:t>
      </w:r>
      <w:r w:rsidR="00B67A46">
        <w:rPr>
          <w:color w:val="A50021" w:themeColor="accent2"/>
        </w:rPr>
        <w:t>)</w:t>
      </w:r>
      <w:r w:rsidRPr="0071365D">
        <w:rPr>
          <w:color w:val="A50021" w:themeColor="accent2"/>
        </w:rPr>
        <w:t>, reduce consumption of non-renewable resources and accelerate statewide decarbonization efforts</w:t>
      </w:r>
      <w:r w:rsidR="00D41864" w:rsidRPr="0071365D">
        <w:rPr>
          <w:color w:val="A50021" w:themeColor="accent2"/>
        </w:rPr>
        <w:t xml:space="preserve">.  </w:t>
      </w:r>
      <w:r w:rsidRPr="0071365D">
        <w:rPr>
          <w:b/>
          <w:bCs/>
          <w:color w:val="0000FF" w:themeColor="accent1"/>
        </w:rPr>
        <w:t>[End boilerplate]</w:t>
      </w:r>
      <w:r w:rsidRPr="0071365D">
        <w:rPr>
          <w:color w:val="0000FF" w:themeColor="accent1"/>
        </w:rPr>
        <w:t xml:space="preserve">  </w:t>
      </w:r>
    </w:p>
    <w:p w14:paraId="655B1B92" w14:textId="77777777" w:rsidR="0071365D" w:rsidRDefault="0071365D" w:rsidP="0071365D">
      <w:pPr>
        <w:pStyle w:val="IntroGuidanceHeading1"/>
      </w:pPr>
      <w:r>
        <w:t>GUIDANCE</w:t>
      </w:r>
    </w:p>
    <w:p w14:paraId="733D9BC8" w14:textId="7FE780F0" w:rsidR="0071365D" w:rsidRDefault="00AD3590" w:rsidP="0071365D">
      <w:pPr>
        <w:rPr>
          <w:color w:val="0000FF" w:themeColor="accent1"/>
        </w:rPr>
      </w:pPr>
      <w:r w:rsidRPr="00AD3590">
        <w:rPr>
          <w:color w:val="0000FF" w:themeColor="accent1"/>
        </w:rPr>
        <w:t>Qualitatively analyze project consistency with applicable federal, state, and local energy legislation, policies, and standards designed to reduce energy consumption and improve efficiency</w:t>
      </w:r>
      <w:r w:rsidR="00D41864" w:rsidRPr="00AD3590">
        <w:rPr>
          <w:color w:val="0000FF" w:themeColor="accent1"/>
        </w:rPr>
        <w:t xml:space="preserve">.  </w:t>
      </w:r>
      <w:r w:rsidRPr="00AD3590">
        <w:rPr>
          <w:color w:val="0000FF" w:themeColor="accent1"/>
        </w:rPr>
        <w:t xml:space="preserve">Refer to analysis and discussion presented in Section 4.2, </w:t>
      </w:r>
      <w:r w:rsidRPr="00AD3590">
        <w:rPr>
          <w:i/>
          <w:iCs/>
          <w:color w:val="0000FF" w:themeColor="accent1"/>
        </w:rPr>
        <w:t xml:space="preserve">Direct </w:t>
      </w:r>
      <w:r w:rsidRPr="00AD3590">
        <w:rPr>
          <w:i/>
          <w:iCs/>
          <w:color w:val="0000FF" w:themeColor="accent1"/>
        </w:rPr>
        <w:lastRenderedPageBreak/>
        <w:t>Energy</w:t>
      </w:r>
      <w:r w:rsidRPr="00AD3590">
        <w:rPr>
          <w:color w:val="0000FF" w:themeColor="accent1"/>
        </w:rPr>
        <w:t>, and Section 4.</w:t>
      </w:r>
      <w:r w:rsidR="004E07F3">
        <w:rPr>
          <w:color w:val="0000FF" w:themeColor="accent1"/>
        </w:rPr>
        <w:t>3</w:t>
      </w:r>
      <w:r w:rsidRPr="00AD3590">
        <w:rPr>
          <w:color w:val="0000FF" w:themeColor="accent1"/>
        </w:rPr>
        <w:t xml:space="preserve">, </w:t>
      </w:r>
      <w:r w:rsidRPr="00AD3590">
        <w:rPr>
          <w:i/>
          <w:iCs/>
          <w:color w:val="0000FF" w:themeColor="accent1"/>
        </w:rPr>
        <w:t>Indirect Energy</w:t>
      </w:r>
      <w:r w:rsidRPr="00AD3590">
        <w:rPr>
          <w:color w:val="0000FF" w:themeColor="accent1"/>
        </w:rPr>
        <w:t>, as applicable</w:t>
      </w:r>
      <w:r w:rsidR="00D41864" w:rsidRPr="00AD3590">
        <w:rPr>
          <w:color w:val="0000FF" w:themeColor="accent1"/>
        </w:rPr>
        <w:t xml:space="preserve">.  </w:t>
      </w:r>
      <w:r w:rsidRPr="00AD3590">
        <w:rPr>
          <w:color w:val="0000FF" w:themeColor="accent1"/>
        </w:rPr>
        <w:t>However, avoid summarizing quantified results (e.g., annual gallons of gasoline, annual BTU of direct energy)</w:t>
      </w:r>
      <w:r w:rsidR="00D41864" w:rsidRPr="00AD3590">
        <w:rPr>
          <w:color w:val="0000FF" w:themeColor="accent1"/>
        </w:rPr>
        <w:t xml:space="preserve">.  </w:t>
      </w:r>
      <w:r w:rsidRPr="00AD3590">
        <w:rPr>
          <w:color w:val="0000FF" w:themeColor="accent1"/>
        </w:rPr>
        <w:t xml:space="preserve">This section should clearly explain how the build alternative(s) has been </w:t>
      </w:r>
      <w:r w:rsidRPr="00AD3590">
        <w:rPr>
          <w:i/>
          <w:iCs/>
          <w:color w:val="0000FF" w:themeColor="accent1"/>
        </w:rPr>
        <w:t>designed</w:t>
      </w:r>
      <w:r w:rsidRPr="00AD3590">
        <w:rPr>
          <w:color w:val="0000FF" w:themeColor="accent1"/>
        </w:rPr>
        <w:t xml:space="preserve"> to improve energy efficiency and/or reduce consumption of fossil fuels</w:t>
      </w:r>
      <w:r w:rsidR="00D41864" w:rsidRPr="00AD3590">
        <w:rPr>
          <w:color w:val="0000FF" w:themeColor="accent1"/>
        </w:rPr>
        <w:t xml:space="preserve">.  </w:t>
      </w:r>
      <w:r w:rsidRPr="00AD3590">
        <w:rPr>
          <w:color w:val="0000FF" w:themeColor="accent1"/>
        </w:rPr>
        <w:t>Contrast this discussion with a consistency analysis for the No-Build Alternative</w:t>
      </w:r>
      <w:r w:rsidR="0071365D">
        <w:rPr>
          <w:color w:val="0000FF" w:themeColor="accent1"/>
        </w:rPr>
        <w:t xml:space="preserve">. </w:t>
      </w:r>
    </w:p>
    <w:p w14:paraId="6DF5FE33" w14:textId="77777777" w:rsidR="00F56C3C" w:rsidRDefault="00F56C3C" w:rsidP="00F56C3C">
      <w:pPr>
        <w:rPr>
          <w:color w:val="800080" w:themeColor="accent3"/>
        </w:rPr>
      </w:pPr>
      <w:bookmarkStart w:id="160" w:name="_Hlk149033982"/>
      <w:r>
        <w:rPr>
          <w:color w:val="0000FF" w:themeColor="accent1"/>
        </w:rPr>
        <w:t>The following is an example analysis.</w:t>
      </w:r>
      <w:r w:rsidRPr="006B3F76" w:rsidDel="007C79D3">
        <w:rPr>
          <w:color w:val="800080" w:themeColor="accent3"/>
        </w:rPr>
        <w:t xml:space="preserve"> </w:t>
      </w:r>
    </w:p>
    <w:p w14:paraId="6A7E87DE" w14:textId="0D240178" w:rsidR="00FD2FB5" w:rsidRPr="00FD2FB5" w:rsidRDefault="00FD2FB5" w:rsidP="00FD2FB5">
      <w:pPr>
        <w:rPr>
          <w:color w:val="800080" w:themeColor="accent3"/>
        </w:rPr>
      </w:pPr>
      <w:r w:rsidRPr="00FD2FB5">
        <w:rPr>
          <w:color w:val="800080" w:themeColor="accent3"/>
        </w:rPr>
        <w:t>The proposed project would improve travel time reliability within the I-400 corridor and improve traffic flow by reducing congestion and increasing vehicle speeds</w:t>
      </w:r>
      <w:bookmarkEnd w:id="160"/>
      <w:r w:rsidR="00D41864" w:rsidRPr="00FD2FB5">
        <w:rPr>
          <w:color w:val="800080" w:themeColor="accent3"/>
        </w:rPr>
        <w:t xml:space="preserve">.  </w:t>
      </w:r>
      <w:r w:rsidRPr="00FD2FB5">
        <w:rPr>
          <w:color w:val="800080" w:themeColor="accent3"/>
        </w:rPr>
        <w:t xml:space="preserve">As discussed in Section 4.2, </w:t>
      </w:r>
      <w:r w:rsidRPr="00FD2FB5">
        <w:rPr>
          <w:i/>
          <w:iCs/>
          <w:color w:val="800080" w:themeColor="accent3"/>
        </w:rPr>
        <w:t>Direct Energy</w:t>
      </w:r>
      <w:r w:rsidRPr="00FD2FB5">
        <w:rPr>
          <w:color w:val="800080" w:themeColor="accent3"/>
        </w:rPr>
        <w:t>, vehicles traveling at free-flow speeds are more fuel efficient</w:t>
      </w:r>
      <w:r w:rsidR="00D41864" w:rsidRPr="00FD2FB5">
        <w:rPr>
          <w:color w:val="800080" w:themeColor="accent3"/>
        </w:rPr>
        <w:t xml:space="preserve">.  </w:t>
      </w:r>
      <w:r w:rsidRPr="00FD2FB5">
        <w:rPr>
          <w:color w:val="800080" w:themeColor="accent3"/>
        </w:rPr>
        <w:t xml:space="preserve">Therefore, the operational improvements proposed by the project </w:t>
      </w:r>
      <w:bookmarkStart w:id="161" w:name="_Hlk149029258"/>
      <w:r w:rsidRPr="00FD2FB5">
        <w:rPr>
          <w:color w:val="800080" w:themeColor="accent3"/>
        </w:rPr>
        <w:t>will result in a more efficient use of direct energy</w:t>
      </w:r>
      <w:bookmarkStart w:id="162" w:name="_Hlk149033989"/>
      <w:bookmarkEnd w:id="161"/>
      <w:r w:rsidR="00D41864" w:rsidRPr="00FD2FB5">
        <w:rPr>
          <w:color w:val="800080" w:themeColor="accent3"/>
        </w:rPr>
        <w:t xml:space="preserve">.  </w:t>
      </w:r>
      <w:r w:rsidRPr="00FD2FB5">
        <w:rPr>
          <w:color w:val="800080" w:themeColor="accent3"/>
        </w:rPr>
        <w:t xml:space="preserve">The TSM elements incorporated into the design of the build alternatives will likewise promote the efficient flow of traffic.  </w:t>
      </w:r>
      <w:bookmarkEnd w:id="162"/>
      <w:r w:rsidRPr="00FD2FB5">
        <w:rPr>
          <w:color w:val="800080" w:themeColor="accent3"/>
        </w:rPr>
        <w:t xml:space="preserve">The proposed </w:t>
      </w:r>
      <w:bookmarkStart w:id="163" w:name="_Hlk149033997"/>
      <w:r w:rsidRPr="00FD2FB5">
        <w:rPr>
          <w:color w:val="800080" w:themeColor="accent3"/>
        </w:rPr>
        <w:t xml:space="preserve">bicycle and pedestrian facilities </w:t>
      </w:r>
      <w:bookmarkEnd w:id="163"/>
      <w:r w:rsidRPr="00FD2FB5">
        <w:rPr>
          <w:color w:val="800080" w:themeColor="accent3"/>
        </w:rPr>
        <w:t xml:space="preserve">will encourage walking and bicycling within the project footprint, thus </w:t>
      </w:r>
      <w:bookmarkStart w:id="164" w:name="_Hlk149034030"/>
      <w:r w:rsidRPr="00FD2FB5">
        <w:rPr>
          <w:color w:val="800080" w:themeColor="accent3"/>
        </w:rPr>
        <w:t xml:space="preserve">supporting mode </w:t>
      </w:r>
      <w:r w:rsidR="00D41864" w:rsidRPr="00FD2FB5">
        <w:rPr>
          <w:color w:val="800080" w:themeColor="accent3"/>
        </w:rPr>
        <w:t>shift</w:t>
      </w:r>
      <w:r w:rsidRPr="00FD2FB5">
        <w:rPr>
          <w:color w:val="800080" w:themeColor="accent3"/>
        </w:rPr>
        <w:t xml:space="preserve"> and reducing fossil fuel (i.e., non-renewable) consumption for transportation</w:t>
      </w:r>
      <w:bookmarkStart w:id="165" w:name="_Hlk149029476"/>
      <w:bookmarkStart w:id="166" w:name="_Hlk149029397"/>
      <w:bookmarkEnd w:id="164"/>
      <w:r w:rsidR="000A65F0" w:rsidRPr="00FD2FB5">
        <w:rPr>
          <w:color w:val="800080" w:themeColor="accent3"/>
        </w:rPr>
        <w:t xml:space="preserve">.  </w:t>
      </w:r>
      <w:r w:rsidRPr="00FD2FB5">
        <w:rPr>
          <w:color w:val="800080" w:themeColor="accent3"/>
        </w:rPr>
        <w:t xml:space="preserve">The project design and direct energy conservation features are therefore consistent with energy regulations and policies </w:t>
      </w:r>
      <w:bookmarkEnd w:id="165"/>
      <w:r w:rsidRPr="00FD2FB5">
        <w:rPr>
          <w:color w:val="800080" w:themeColor="accent3"/>
        </w:rPr>
        <w:t>promoting energy efficiency and renewable energy</w:t>
      </w:r>
      <w:bookmarkEnd w:id="166"/>
      <w:r w:rsidRPr="00FD2FB5">
        <w:rPr>
          <w:color w:val="800080" w:themeColor="accent3"/>
        </w:rPr>
        <w:t xml:space="preserve">.        </w:t>
      </w:r>
    </w:p>
    <w:p w14:paraId="132F34CE" w14:textId="486B7ECD" w:rsidR="00FD2FB5" w:rsidRPr="00FD2FB5" w:rsidRDefault="00FD2FB5" w:rsidP="00FD2FB5">
      <w:pPr>
        <w:rPr>
          <w:color w:val="800080" w:themeColor="accent3"/>
        </w:rPr>
      </w:pPr>
      <w:r w:rsidRPr="00FD2FB5">
        <w:rPr>
          <w:color w:val="800080" w:themeColor="accent3"/>
        </w:rPr>
        <w:t>The indirect energy expenditure required for construction of either build alternative would be necessary to achieve the direct energy benefits discuss</w:t>
      </w:r>
      <w:r w:rsidR="00145464">
        <w:rPr>
          <w:color w:val="800080" w:themeColor="accent3"/>
        </w:rPr>
        <w:t>ed</w:t>
      </w:r>
      <w:r w:rsidRPr="00FD2FB5">
        <w:rPr>
          <w:color w:val="800080" w:themeColor="accent3"/>
        </w:rPr>
        <w:t xml:space="preserve"> above</w:t>
      </w:r>
      <w:bookmarkStart w:id="167" w:name="_Hlk149034064"/>
      <w:r w:rsidR="00D41864" w:rsidRPr="00FD2FB5">
        <w:rPr>
          <w:color w:val="800080" w:themeColor="accent3"/>
        </w:rPr>
        <w:t xml:space="preserve">.  </w:t>
      </w:r>
      <w:r w:rsidRPr="00FD2FB5">
        <w:rPr>
          <w:color w:val="800080" w:themeColor="accent3"/>
        </w:rPr>
        <w:t xml:space="preserve">While indirect energy would be consumed during construction, project design features and best management practices would be implemented to conserve energy and reduce diesel fuel consumption </w:t>
      </w:r>
      <w:bookmarkEnd w:id="167"/>
      <w:r w:rsidRPr="00FD2FB5">
        <w:rPr>
          <w:color w:val="800080" w:themeColor="accent3"/>
        </w:rPr>
        <w:t xml:space="preserve">(refer to Section 4.3.1, </w:t>
      </w:r>
      <w:r w:rsidRPr="00FD2FB5">
        <w:rPr>
          <w:i/>
          <w:iCs/>
          <w:color w:val="800080" w:themeColor="accent3"/>
        </w:rPr>
        <w:t>Construction</w:t>
      </w:r>
      <w:r w:rsidRPr="00FD2FB5">
        <w:rPr>
          <w:color w:val="800080" w:themeColor="accent3"/>
        </w:rPr>
        <w:t>)</w:t>
      </w:r>
      <w:r w:rsidR="00D41864" w:rsidRPr="00FD2FB5">
        <w:rPr>
          <w:color w:val="800080" w:themeColor="accent3"/>
        </w:rPr>
        <w:t xml:space="preserve">.  </w:t>
      </w:r>
      <w:r w:rsidRPr="00FD2FB5">
        <w:rPr>
          <w:color w:val="800080" w:themeColor="accent3"/>
        </w:rPr>
        <w:t xml:space="preserve">Future maintenance equipment would use renewable diesel, consistent with the state’s In-Use Regulation.  </w:t>
      </w:r>
      <w:bookmarkStart w:id="168" w:name="_Hlk149034099"/>
      <w:r w:rsidRPr="00FD2FB5">
        <w:rPr>
          <w:color w:val="800080" w:themeColor="accent3"/>
        </w:rPr>
        <w:t>The new and replaced street</w:t>
      </w:r>
      <w:r w:rsidR="00B50860">
        <w:rPr>
          <w:color w:val="800080" w:themeColor="accent3"/>
        </w:rPr>
        <w:t xml:space="preserve"> </w:t>
      </w:r>
      <w:r w:rsidRPr="00FD2FB5">
        <w:rPr>
          <w:color w:val="800080" w:themeColor="accent3"/>
        </w:rPr>
        <w:t xml:space="preserve">lights and traffic signals would use LED fixtures, thus achieving operational improvements in energy efficiency.  </w:t>
      </w:r>
      <w:bookmarkStart w:id="169" w:name="_Hlk149034103"/>
      <w:bookmarkEnd w:id="168"/>
      <w:r w:rsidRPr="00FD2FB5">
        <w:rPr>
          <w:color w:val="800080" w:themeColor="accent3"/>
        </w:rPr>
        <w:t>The project design and indirect energy conservation features are therefore consistent with energy regulations and policies promoting energy efficiency and renewable energy</w:t>
      </w:r>
      <w:bookmarkEnd w:id="169"/>
      <w:r w:rsidRPr="00FD2FB5">
        <w:rPr>
          <w:color w:val="800080" w:themeColor="accent3"/>
        </w:rPr>
        <w:t xml:space="preserve">.    </w:t>
      </w:r>
    </w:p>
    <w:p w14:paraId="2F6989FF" w14:textId="5EEC4727" w:rsidR="004F12D7" w:rsidRDefault="00FD2FB5" w:rsidP="00FD2FB5">
      <w:r w:rsidRPr="00FD2FB5">
        <w:rPr>
          <w:color w:val="800080" w:themeColor="accent3"/>
        </w:rPr>
        <w:t>The No-Build Alternative would not be consistent with regional and local policies since there would be no decrease in traffic congestion, and operational, mobility, and travel time conditions (mainline, interchanges, and ramps) would continue to deteriorate, resulting in less</w:t>
      </w:r>
      <w:r w:rsidR="00FD3A33">
        <w:rPr>
          <w:color w:val="800080" w:themeColor="accent3"/>
        </w:rPr>
        <w:t xml:space="preserve"> </w:t>
      </w:r>
      <w:r w:rsidRPr="00FD2FB5">
        <w:rPr>
          <w:color w:val="800080" w:themeColor="accent3"/>
        </w:rPr>
        <w:t>efficient use of direct energy</w:t>
      </w:r>
      <w:r w:rsidR="000A65F0" w:rsidRPr="00FD2FB5">
        <w:rPr>
          <w:color w:val="800080" w:themeColor="accent3"/>
        </w:rPr>
        <w:t xml:space="preserve">.  </w:t>
      </w:r>
      <w:r w:rsidRPr="00FD2FB5">
        <w:rPr>
          <w:color w:val="800080" w:themeColor="accent3"/>
        </w:rPr>
        <w:t>The No-Build Alternative would not facilitate mode shift to forms of active transportation (i.e., walking and biking) or replace inefficient street</w:t>
      </w:r>
      <w:r w:rsidR="00B50860">
        <w:rPr>
          <w:color w:val="800080" w:themeColor="accent3"/>
        </w:rPr>
        <w:t xml:space="preserve"> </w:t>
      </w:r>
      <w:r w:rsidRPr="00FD2FB5">
        <w:rPr>
          <w:color w:val="800080" w:themeColor="accent3"/>
        </w:rPr>
        <w:t xml:space="preserve">lights in the project area.  </w:t>
      </w:r>
      <w:r w:rsidRPr="00752C53">
        <w:rPr>
          <w:b/>
          <w:bCs/>
          <w:color w:val="0000FF" w:themeColor="accent1"/>
        </w:rPr>
        <w:t xml:space="preserve">[End </w:t>
      </w:r>
      <w:r w:rsidRPr="00207B23">
        <w:rPr>
          <w:b/>
          <w:bCs/>
          <w:color w:val="0000FF" w:themeColor="accent1"/>
        </w:rPr>
        <w:t>example</w:t>
      </w:r>
      <w:r w:rsidRPr="00752C53">
        <w:rPr>
          <w:b/>
          <w:bCs/>
          <w:color w:val="0000FF" w:themeColor="accent1"/>
        </w:rPr>
        <w:t>]</w:t>
      </w:r>
    </w:p>
    <w:p w14:paraId="5F47C54D" w14:textId="63CC4B16"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9F887" w14:textId="77777777" w:rsidR="0099598E" w:rsidRDefault="0099598E" w:rsidP="0099598E">
      <w:pPr>
        <w:pStyle w:val="Heading1"/>
        <w:sectPr w:rsidR="0099598E" w:rsidSect="00203664">
          <w:pgSz w:w="12240" w:h="15840"/>
          <w:pgMar w:top="1440" w:right="1440" w:bottom="1440" w:left="1440" w:header="720" w:footer="720" w:gutter="0"/>
          <w:cols w:space="720"/>
          <w:docGrid w:linePitch="360"/>
        </w:sectPr>
      </w:pPr>
    </w:p>
    <w:p w14:paraId="7C7AEFF0" w14:textId="3E45823B" w:rsidR="0099598E" w:rsidRPr="006C2162" w:rsidRDefault="0099598E" w:rsidP="0099598E">
      <w:pPr>
        <w:pStyle w:val="Heading1"/>
      </w:pPr>
      <w:bookmarkStart w:id="170" w:name="_Toc150334800"/>
      <w:bookmarkStart w:id="171" w:name="_Toc157429598"/>
      <w:r>
        <w:lastRenderedPageBreak/>
        <w:t>Avoidance, Minimization, and/or Mitigation Measures</w:t>
      </w:r>
      <w:bookmarkEnd w:id="170"/>
      <w:bookmarkEnd w:id="171"/>
      <w:r>
        <w:t xml:space="preserve"> </w:t>
      </w:r>
    </w:p>
    <w:p w14:paraId="203E38BF" w14:textId="77777777" w:rsidR="00B7139F" w:rsidRDefault="00B7139F" w:rsidP="00B7139F">
      <w:pPr>
        <w:pStyle w:val="IntroGuidanceHeading1"/>
      </w:pPr>
      <w:r>
        <w:t>GUIDANCE</w:t>
      </w:r>
    </w:p>
    <w:p w14:paraId="4C7A7CF3" w14:textId="6581199F" w:rsidR="000256AF" w:rsidRPr="000256AF" w:rsidRDefault="00FD3A33" w:rsidP="00FD3A33">
      <w:pPr>
        <w:rPr>
          <w:color w:val="0000FF" w:themeColor="accent1"/>
        </w:rPr>
      </w:pPr>
      <w:r w:rsidRPr="00FD3A33">
        <w:rPr>
          <w:color w:val="0000FF" w:themeColor="accent1"/>
        </w:rPr>
        <w:t>CEQA establishes a duty for public agencies to avoid or minimize environmental damage</w:t>
      </w:r>
      <w:r>
        <w:rPr>
          <w:color w:val="0000FF" w:themeColor="accent1"/>
        </w:rPr>
        <w:t xml:space="preserve">, </w:t>
      </w:r>
      <w:r w:rsidRPr="00FD3A33">
        <w:rPr>
          <w:color w:val="0000FF" w:themeColor="accent1"/>
        </w:rPr>
        <w:t>where feasible</w:t>
      </w:r>
      <w:r w:rsidR="00C91424" w:rsidRPr="000256AF">
        <w:rPr>
          <w:color w:val="0000FF" w:themeColor="accent1"/>
        </w:rPr>
        <w:t xml:space="preserve">. </w:t>
      </w:r>
      <w:r w:rsidR="00C91424">
        <w:rPr>
          <w:color w:val="0000FF" w:themeColor="accent1"/>
        </w:rPr>
        <w:t xml:space="preserve"> </w:t>
      </w:r>
      <w:r w:rsidR="000256AF" w:rsidRPr="000256AF">
        <w:rPr>
          <w:color w:val="0000FF" w:themeColor="accent1"/>
        </w:rPr>
        <w:t>FHWA requires a project to incorporate measures to mitigate adverse impacts caused by the action and requires the project applicant to be responsible for the implementation of the mitigation measures (</w:t>
      </w:r>
      <w:r w:rsidR="000256AF" w:rsidRPr="00FD2C14">
        <w:rPr>
          <w:color w:val="0000FF" w:themeColor="accent1"/>
        </w:rPr>
        <w:t>23 CFR 771</w:t>
      </w:r>
      <w:r w:rsidR="000256AF" w:rsidRPr="000256AF">
        <w:rPr>
          <w:color w:val="0000FF" w:themeColor="accent1"/>
        </w:rPr>
        <w:t xml:space="preserve">). </w:t>
      </w:r>
    </w:p>
    <w:p w14:paraId="51A055A4" w14:textId="160410EF" w:rsidR="0099598E" w:rsidRPr="000256AF" w:rsidRDefault="000256AF" w:rsidP="000256AF">
      <w:pPr>
        <w:rPr>
          <w:color w:val="0000FF" w:themeColor="accent1"/>
        </w:rPr>
      </w:pPr>
      <w:r w:rsidRPr="000256AF">
        <w:rPr>
          <w:color w:val="0000FF" w:themeColor="accent1"/>
        </w:rPr>
        <w:t xml:space="preserve">This chapter should describe </w:t>
      </w:r>
      <w:r w:rsidR="00FD2C14">
        <w:rPr>
          <w:color w:val="0000FF" w:themeColor="accent1"/>
        </w:rPr>
        <w:t>environmental commitments (</w:t>
      </w:r>
      <w:r w:rsidRPr="000256AF">
        <w:rPr>
          <w:color w:val="0000FF" w:themeColor="accent1"/>
        </w:rPr>
        <w:t>avoidance, minimization, and/or mitigation</w:t>
      </w:r>
      <w:r w:rsidR="00FD2C14">
        <w:rPr>
          <w:color w:val="0000FF" w:themeColor="accent1"/>
        </w:rPr>
        <w:t>)</w:t>
      </w:r>
      <w:r w:rsidRPr="000256AF">
        <w:rPr>
          <w:color w:val="0000FF" w:themeColor="accent1"/>
        </w:rPr>
        <w:t xml:space="preserve"> that go beyond Caltrans standard measures</w:t>
      </w:r>
      <w:r w:rsidR="00D41864" w:rsidRPr="000256AF">
        <w:rPr>
          <w:color w:val="0000FF" w:themeColor="accent1"/>
        </w:rPr>
        <w:t xml:space="preserve">.  </w:t>
      </w:r>
      <w:r w:rsidRPr="000256AF">
        <w:rPr>
          <w:color w:val="0000FF" w:themeColor="accent1"/>
        </w:rPr>
        <w:t xml:space="preserve">Project design features should be presented in Chapter 1, </w:t>
      </w:r>
      <w:r w:rsidRPr="000256AF">
        <w:rPr>
          <w:i/>
          <w:iCs/>
          <w:color w:val="0000FF" w:themeColor="accent1"/>
        </w:rPr>
        <w:t>Project Description</w:t>
      </w:r>
      <w:r w:rsidRPr="000256AF">
        <w:rPr>
          <w:color w:val="0000FF" w:themeColor="accent1"/>
        </w:rPr>
        <w:t xml:space="preserve">, and should </w:t>
      </w:r>
      <w:r w:rsidRPr="000256AF">
        <w:rPr>
          <w:b/>
          <w:bCs/>
          <w:color w:val="0000FF" w:themeColor="accent1"/>
        </w:rPr>
        <w:t>not</w:t>
      </w:r>
      <w:r w:rsidRPr="000256AF">
        <w:rPr>
          <w:color w:val="0000FF" w:themeColor="accent1"/>
        </w:rPr>
        <w:t xml:space="preserve"> be included in this section</w:t>
      </w:r>
      <w:r w:rsidR="00D41864" w:rsidRPr="000256AF">
        <w:rPr>
          <w:color w:val="0000FF" w:themeColor="accent1"/>
        </w:rPr>
        <w:t xml:space="preserve">.  </w:t>
      </w:r>
      <w:r w:rsidR="00947B6C">
        <w:rPr>
          <w:color w:val="0000FF" w:themeColor="accent1"/>
        </w:rPr>
        <w:t>Also n</w:t>
      </w:r>
      <w:r w:rsidR="00947B6C" w:rsidRPr="00947B6C">
        <w:rPr>
          <w:color w:val="0000FF" w:themeColor="accent1"/>
        </w:rPr>
        <w:t xml:space="preserve">ote that under CEQA, </w:t>
      </w:r>
      <w:r w:rsidR="00A4057D" w:rsidRPr="00A4057D">
        <w:rPr>
          <w:color w:val="0000FF" w:themeColor="accent1"/>
        </w:rPr>
        <w:t>an environmental commitment is only called “mitigation” if it is a measure specifically proposed to reduce a significant impact</w:t>
      </w:r>
      <w:r w:rsidR="00D41864" w:rsidRPr="00A4057D">
        <w:rPr>
          <w:color w:val="0000FF" w:themeColor="accent1"/>
        </w:rPr>
        <w:t xml:space="preserve">.  </w:t>
      </w:r>
      <w:r w:rsidR="00A4057D" w:rsidRPr="00A4057D">
        <w:rPr>
          <w:color w:val="0000FF" w:themeColor="accent1"/>
        </w:rPr>
        <w:t>Under NEPA, mitigation is used as a broader term encompassing all efforts to reduce impacts</w:t>
      </w:r>
      <w:r w:rsidR="00D41864" w:rsidRPr="00A4057D">
        <w:rPr>
          <w:color w:val="0000FF" w:themeColor="accent1"/>
        </w:rPr>
        <w:t xml:space="preserve">.  </w:t>
      </w:r>
      <w:r w:rsidR="00C41E3F" w:rsidRPr="00C41E3F">
        <w:rPr>
          <w:color w:val="0000FF" w:themeColor="accent1"/>
        </w:rPr>
        <w:t xml:space="preserve">Because significance and mitigation are handled differently under CEQA and NEPA, do not separate out mitigation measures in this section. </w:t>
      </w:r>
      <w:r w:rsidR="008072F6">
        <w:rPr>
          <w:color w:val="0000FF" w:themeColor="accent1"/>
        </w:rPr>
        <w:t xml:space="preserve"> </w:t>
      </w:r>
      <w:r w:rsidR="00EA6CA1">
        <w:rPr>
          <w:color w:val="0000FF" w:themeColor="accent1"/>
        </w:rPr>
        <w:t>Describe proposed measures as environmental commitments or group them as avoidance, minimization, and/or mitigation</w:t>
      </w:r>
      <w:r w:rsidR="00D41864">
        <w:rPr>
          <w:color w:val="0000FF" w:themeColor="accent1"/>
        </w:rPr>
        <w:t xml:space="preserve">.  </w:t>
      </w:r>
      <w:r w:rsidR="00A4057D" w:rsidRPr="00A4057D">
        <w:rPr>
          <w:color w:val="0000FF" w:themeColor="accent1"/>
        </w:rPr>
        <w:t xml:space="preserve">The </w:t>
      </w:r>
      <w:r w:rsidR="006F3EFA" w:rsidRPr="006F3EFA">
        <w:rPr>
          <w:color w:val="0000FF" w:themeColor="accent1"/>
        </w:rPr>
        <w:t xml:space="preserve">Project Development Team </w:t>
      </w:r>
      <w:r w:rsidR="004448A2">
        <w:rPr>
          <w:color w:val="0000FF" w:themeColor="accent1"/>
        </w:rPr>
        <w:t xml:space="preserve">(PDT) </w:t>
      </w:r>
      <w:r w:rsidR="00A4057D" w:rsidRPr="00A4057D">
        <w:rPr>
          <w:color w:val="0000FF" w:themeColor="accent1"/>
        </w:rPr>
        <w:t xml:space="preserve">is responsible for making the final determination on significance, and therefore, technical studies (including the </w:t>
      </w:r>
      <w:r w:rsidR="006F3EFA">
        <w:rPr>
          <w:color w:val="0000FF" w:themeColor="accent1"/>
        </w:rPr>
        <w:t>EAR</w:t>
      </w:r>
      <w:r w:rsidR="00A4057D" w:rsidRPr="00A4057D">
        <w:rPr>
          <w:color w:val="0000FF" w:themeColor="accent1"/>
        </w:rPr>
        <w:t>) should not include significance calls and should only list measures that have been approved by the PDT</w:t>
      </w:r>
      <w:r w:rsidR="00D41864" w:rsidRPr="00C41E3F">
        <w:rPr>
          <w:color w:val="0000FF" w:themeColor="accent1"/>
        </w:rPr>
        <w:t>.</w:t>
      </w:r>
      <w:r w:rsidR="00D41864">
        <w:rPr>
          <w:color w:val="0000FF" w:themeColor="accent1"/>
        </w:rPr>
        <w:t xml:space="preserve">  </w:t>
      </w:r>
      <w:r w:rsidR="00EA6CA1">
        <w:rPr>
          <w:color w:val="0000FF" w:themeColor="accent1"/>
        </w:rPr>
        <w:t>Coordinate with the PDT to ensure that any proposed measures are feasible</w:t>
      </w:r>
      <w:r w:rsidR="00D41864">
        <w:rPr>
          <w:color w:val="0000FF" w:themeColor="accent1"/>
        </w:rPr>
        <w:t xml:space="preserve">.  </w:t>
      </w:r>
      <w:r w:rsidRPr="000256AF">
        <w:rPr>
          <w:color w:val="0000FF" w:themeColor="accent1"/>
        </w:rPr>
        <w:t xml:space="preserve">Refer to the </w:t>
      </w:r>
      <w:hyperlink r:id="rId37" w:anchor="ceqa" w:history="1">
        <w:r w:rsidRPr="000256AF">
          <w:rPr>
            <w:rStyle w:val="Hyperlink"/>
            <w:color w:val="0000FF" w:themeColor="accent1"/>
          </w:rPr>
          <w:t>Mitigation Under CEQA</w:t>
        </w:r>
      </w:hyperlink>
      <w:r w:rsidRPr="000256AF">
        <w:rPr>
          <w:color w:val="0000FF" w:themeColor="accent1"/>
        </w:rPr>
        <w:t xml:space="preserve"> guidance document developed by the Environmental Management Office for additional information.</w:t>
      </w:r>
    </w:p>
    <w:p w14:paraId="1353CEBD" w14:textId="77777777" w:rsidR="0099598E" w:rsidRDefault="0099598E" w:rsidP="0099598E">
      <w:pPr>
        <w:pStyle w:val="Heading2"/>
      </w:pPr>
      <w:bookmarkStart w:id="172" w:name="_Toc150334801"/>
      <w:bookmarkStart w:id="173" w:name="_Toc157429599"/>
      <w:r>
        <w:t>Direct Energy</w:t>
      </w:r>
      <w:bookmarkEnd w:id="173"/>
      <w:r>
        <w:t xml:space="preserve"> </w:t>
      </w:r>
      <w:bookmarkEnd w:id="172"/>
    </w:p>
    <w:p w14:paraId="5E1FFAB7" w14:textId="77777777" w:rsidR="008072F6" w:rsidRDefault="008072F6" w:rsidP="008072F6">
      <w:pPr>
        <w:pStyle w:val="IntroGuidanceHeading1"/>
      </w:pPr>
      <w:r>
        <w:t>GUIDANCE</w:t>
      </w:r>
    </w:p>
    <w:p w14:paraId="10C3623C" w14:textId="5801244A" w:rsidR="009D25E5" w:rsidRPr="00C077A0" w:rsidRDefault="008072F6" w:rsidP="00F96A07">
      <w:pPr>
        <w:rPr>
          <w:color w:val="800080" w:themeColor="accent3"/>
        </w:rPr>
      </w:pPr>
      <w:r>
        <w:rPr>
          <w:color w:val="0000FF" w:themeColor="accent1"/>
        </w:rPr>
        <w:t>Describe measures to reduce direct energy consumption</w:t>
      </w:r>
      <w:r w:rsidR="008B3809">
        <w:rPr>
          <w:color w:val="0000FF" w:themeColor="accent1"/>
        </w:rPr>
        <w:t>, if applicable</w:t>
      </w:r>
      <w:r>
        <w:rPr>
          <w:color w:val="0000FF" w:themeColor="accent1"/>
        </w:rPr>
        <w:t xml:space="preserve">. </w:t>
      </w:r>
      <w:r w:rsidR="009368D5">
        <w:rPr>
          <w:color w:val="0000FF" w:themeColor="accent1"/>
        </w:rPr>
        <w:t xml:space="preserve"> </w:t>
      </w:r>
      <w:r w:rsidR="00B54F61">
        <w:rPr>
          <w:color w:val="0000FF" w:themeColor="accent1"/>
        </w:rPr>
        <w:t xml:space="preserve">Measures proposed to reduce </w:t>
      </w:r>
      <w:r w:rsidR="00460CD7">
        <w:rPr>
          <w:color w:val="0000FF" w:themeColor="accent1"/>
        </w:rPr>
        <w:t>operational</w:t>
      </w:r>
      <w:r w:rsidR="00B54F61">
        <w:rPr>
          <w:color w:val="0000FF" w:themeColor="accent1"/>
        </w:rPr>
        <w:t xml:space="preserve"> </w:t>
      </w:r>
      <w:r w:rsidR="00757A5E">
        <w:rPr>
          <w:color w:val="0000FF" w:themeColor="accent1"/>
        </w:rPr>
        <w:t>GHG</w:t>
      </w:r>
      <w:r w:rsidR="00460CD7">
        <w:rPr>
          <w:color w:val="0000FF" w:themeColor="accent1"/>
        </w:rPr>
        <w:t xml:space="preserve"> emissions</w:t>
      </w:r>
      <w:r w:rsidR="00B54F61">
        <w:rPr>
          <w:color w:val="0000FF" w:themeColor="accent1"/>
        </w:rPr>
        <w:t xml:space="preserve"> and traffic impacts can often reduce </w:t>
      </w:r>
      <w:r w:rsidR="00460CD7">
        <w:rPr>
          <w:color w:val="0000FF" w:themeColor="accent1"/>
        </w:rPr>
        <w:t xml:space="preserve">direct </w:t>
      </w:r>
      <w:r w:rsidR="00B54F61">
        <w:rPr>
          <w:color w:val="0000FF" w:themeColor="accent1"/>
        </w:rPr>
        <w:t xml:space="preserve">energy. </w:t>
      </w:r>
      <w:r w:rsidR="00481C22">
        <w:rPr>
          <w:color w:val="0000FF" w:themeColor="accent1"/>
        </w:rPr>
        <w:t xml:space="preserve"> </w:t>
      </w:r>
      <w:r w:rsidR="00B54F61">
        <w:rPr>
          <w:color w:val="0000FF" w:themeColor="accent1"/>
        </w:rPr>
        <w:t>Consult the</w:t>
      </w:r>
      <w:r w:rsidR="009368D5">
        <w:rPr>
          <w:color w:val="0000FF" w:themeColor="accent1"/>
        </w:rPr>
        <w:t xml:space="preserve"> </w:t>
      </w:r>
      <w:r w:rsidR="001D515B">
        <w:rPr>
          <w:color w:val="0000FF" w:themeColor="accent1"/>
        </w:rPr>
        <w:t>AQR and Traffic Operations Analysis Report</w:t>
      </w:r>
      <w:r w:rsidR="00481C22">
        <w:rPr>
          <w:color w:val="0000FF" w:themeColor="accent1"/>
        </w:rPr>
        <w:t xml:space="preserve"> for potential measures.</w:t>
      </w:r>
      <w:r w:rsidR="001D515B">
        <w:rPr>
          <w:color w:val="0000FF" w:themeColor="accent1"/>
        </w:rPr>
        <w:t xml:space="preserve"> </w:t>
      </w:r>
      <w:r>
        <w:rPr>
          <w:color w:val="0000FF" w:themeColor="accent1"/>
        </w:rPr>
        <w:t xml:space="preserve"> </w:t>
      </w:r>
      <w:r w:rsidR="00276993">
        <w:rPr>
          <w:color w:val="0000FF" w:themeColor="accent1"/>
        </w:rPr>
        <w:t>All measures must be approved by the PDT</w:t>
      </w:r>
      <w:r w:rsidR="000C0150">
        <w:rPr>
          <w:color w:val="0000FF" w:themeColor="accent1"/>
        </w:rPr>
        <w:t xml:space="preserve"> and worded for inclusion in the contract specifications for the project</w:t>
      </w:r>
      <w:r w:rsidR="00276993">
        <w:rPr>
          <w:color w:val="0000FF" w:themeColor="accent1"/>
        </w:rPr>
        <w:t>.</w:t>
      </w:r>
    </w:p>
    <w:p w14:paraId="5C99CF1D" w14:textId="77777777"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2EE894" w14:textId="77777777" w:rsidR="0099598E" w:rsidRDefault="0099598E" w:rsidP="0099598E">
      <w:pPr>
        <w:pStyle w:val="Heading2"/>
      </w:pPr>
      <w:bookmarkStart w:id="174" w:name="_Toc150334802"/>
      <w:bookmarkStart w:id="175" w:name="_Toc157429600"/>
      <w:r>
        <w:t>Indirect Energy</w:t>
      </w:r>
      <w:bookmarkEnd w:id="174"/>
      <w:bookmarkEnd w:id="175"/>
      <w:r>
        <w:t xml:space="preserve"> </w:t>
      </w:r>
    </w:p>
    <w:p w14:paraId="197E0DDA" w14:textId="77777777" w:rsidR="008072F6" w:rsidRDefault="008072F6" w:rsidP="008072F6">
      <w:pPr>
        <w:pStyle w:val="IntroGuidanceHeading1"/>
      </w:pPr>
      <w:r>
        <w:t>GUIDANCE</w:t>
      </w:r>
    </w:p>
    <w:p w14:paraId="13E61C78" w14:textId="651BA66D" w:rsidR="008072F6" w:rsidRDefault="008072F6" w:rsidP="008072F6">
      <w:pPr>
        <w:rPr>
          <w:color w:val="0000FF" w:themeColor="accent1"/>
        </w:rPr>
      </w:pPr>
      <w:r>
        <w:rPr>
          <w:color w:val="0000FF" w:themeColor="accent1"/>
        </w:rPr>
        <w:t>Describe measures to reduce indirect energy consumption</w:t>
      </w:r>
      <w:r w:rsidR="008B3809">
        <w:rPr>
          <w:color w:val="0000FF" w:themeColor="accent1"/>
        </w:rPr>
        <w:t>, if applicable</w:t>
      </w:r>
      <w:r>
        <w:rPr>
          <w:color w:val="0000FF" w:themeColor="accent1"/>
        </w:rPr>
        <w:t xml:space="preserve">.  </w:t>
      </w:r>
      <w:r w:rsidR="00460CD7">
        <w:rPr>
          <w:color w:val="0000FF" w:themeColor="accent1"/>
        </w:rPr>
        <w:t xml:space="preserve">Measures proposed to reduce </w:t>
      </w:r>
      <w:r w:rsidR="00A02947">
        <w:rPr>
          <w:color w:val="0000FF" w:themeColor="accent1"/>
        </w:rPr>
        <w:t>construction</w:t>
      </w:r>
      <w:r w:rsidR="00460CD7">
        <w:rPr>
          <w:color w:val="0000FF" w:themeColor="accent1"/>
        </w:rPr>
        <w:t xml:space="preserve"> </w:t>
      </w:r>
      <w:r w:rsidR="00757A5E">
        <w:rPr>
          <w:color w:val="0000FF" w:themeColor="accent1"/>
        </w:rPr>
        <w:t xml:space="preserve">GHG </w:t>
      </w:r>
      <w:r w:rsidR="00A02947">
        <w:rPr>
          <w:color w:val="0000FF" w:themeColor="accent1"/>
        </w:rPr>
        <w:t>emissions</w:t>
      </w:r>
      <w:r w:rsidR="00460CD7">
        <w:rPr>
          <w:color w:val="0000FF" w:themeColor="accent1"/>
        </w:rPr>
        <w:t xml:space="preserve"> can often reduce</w:t>
      </w:r>
      <w:r w:rsidR="00A02947">
        <w:rPr>
          <w:color w:val="0000FF" w:themeColor="accent1"/>
        </w:rPr>
        <w:t xml:space="preserve"> indirect</w:t>
      </w:r>
      <w:r w:rsidR="00460CD7">
        <w:rPr>
          <w:color w:val="0000FF" w:themeColor="accent1"/>
        </w:rPr>
        <w:t xml:space="preserve"> energy impacts.  Consult the AQR for potential measures</w:t>
      </w:r>
      <w:r>
        <w:rPr>
          <w:color w:val="0000FF" w:themeColor="accent1"/>
        </w:rPr>
        <w:t>.</w:t>
      </w:r>
      <w:r w:rsidR="00A02947">
        <w:rPr>
          <w:color w:val="0000FF" w:themeColor="accent1"/>
        </w:rPr>
        <w:t xml:space="preserve">  All measures must be </w:t>
      </w:r>
      <w:r w:rsidR="00052E9D">
        <w:rPr>
          <w:color w:val="0000FF" w:themeColor="accent1"/>
        </w:rPr>
        <w:t xml:space="preserve">approved by the PDT and </w:t>
      </w:r>
      <w:r w:rsidR="002033EE">
        <w:rPr>
          <w:color w:val="0000FF" w:themeColor="accent1"/>
        </w:rPr>
        <w:t>worded for inclusion i</w:t>
      </w:r>
      <w:r w:rsidR="00052E9D">
        <w:rPr>
          <w:color w:val="0000FF" w:themeColor="accent1"/>
        </w:rPr>
        <w:t>n the contract specifications for the project.</w:t>
      </w:r>
    </w:p>
    <w:p w14:paraId="70BF9B35" w14:textId="77777777"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71E32A" w14:textId="77777777" w:rsidR="002F694D" w:rsidRDefault="002F694D" w:rsidP="0099598E">
      <w:pPr>
        <w:pStyle w:val="Heading1"/>
        <w:sectPr w:rsidR="002F694D" w:rsidSect="00203664">
          <w:pgSz w:w="12240" w:h="15840"/>
          <w:pgMar w:top="1440" w:right="1440" w:bottom="1440" w:left="1440" w:header="720" w:footer="720" w:gutter="0"/>
          <w:cols w:space="720"/>
          <w:docGrid w:linePitch="360"/>
        </w:sectPr>
      </w:pPr>
    </w:p>
    <w:p w14:paraId="4F9D26EB" w14:textId="2AD8125F" w:rsidR="0099598E" w:rsidRPr="002675B2" w:rsidRDefault="00430664" w:rsidP="0099598E">
      <w:pPr>
        <w:pStyle w:val="Heading1"/>
      </w:pPr>
      <w:bookmarkStart w:id="176" w:name="_Toc150334803"/>
      <w:bookmarkStart w:id="177" w:name="_Toc157429601"/>
      <w:r>
        <w:lastRenderedPageBreak/>
        <w:t>C</w:t>
      </w:r>
      <w:r w:rsidR="0099598E">
        <w:t>onclusions</w:t>
      </w:r>
      <w:bookmarkEnd w:id="176"/>
      <w:bookmarkEnd w:id="177"/>
      <w:r w:rsidR="0099598E">
        <w:t xml:space="preserve"> </w:t>
      </w:r>
    </w:p>
    <w:p w14:paraId="77783A70" w14:textId="77777777" w:rsidR="00835947" w:rsidRDefault="00835947" w:rsidP="00835947">
      <w:pPr>
        <w:pStyle w:val="IntroGuidanceHeading1"/>
      </w:pPr>
      <w:r>
        <w:t>GUIDANCE</w:t>
      </w:r>
    </w:p>
    <w:p w14:paraId="6E05710C" w14:textId="68AFED77" w:rsidR="00F81D87" w:rsidRPr="00F81D87" w:rsidRDefault="00F81D87" w:rsidP="00F81D87">
      <w:pPr>
        <w:rPr>
          <w:color w:val="0000FF" w:themeColor="accent1"/>
        </w:rPr>
      </w:pPr>
      <w:r w:rsidRPr="00F81D87">
        <w:rPr>
          <w:color w:val="0000FF" w:themeColor="accent1"/>
        </w:rPr>
        <w:t xml:space="preserve">Begin with the following boilerplate. </w:t>
      </w:r>
    </w:p>
    <w:p w14:paraId="5C759D7D" w14:textId="3328B250" w:rsidR="00430664" w:rsidRDefault="00835947" w:rsidP="0099598E">
      <w:pPr>
        <w:rPr>
          <w:b/>
          <w:bCs/>
          <w:color w:val="0000FF" w:themeColor="accent1"/>
        </w:rPr>
      </w:pPr>
      <w:r w:rsidRPr="00835947">
        <w:rPr>
          <w:color w:val="A50021" w:themeColor="accent2"/>
        </w:rPr>
        <w:t xml:space="preserve">The purpose of this </w:t>
      </w:r>
      <w:r w:rsidR="00DE0D54">
        <w:rPr>
          <w:color w:val="A50021" w:themeColor="accent2"/>
        </w:rPr>
        <w:t>Energy Analysis Report (</w:t>
      </w:r>
      <w:r>
        <w:rPr>
          <w:color w:val="A50021" w:themeColor="accent2"/>
        </w:rPr>
        <w:t>EAR</w:t>
      </w:r>
      <w:r w:rsidR="00DE0D54">
        <w:rPr>
          <w:color w:val="A50021" w:themeColor="accent2"/>
        </w:rPr>
        <w:t>)</w:t>
      </w:r>
      <w:r w:rsidRPr="00835947">
        <w:rPr>
          <w:color w:val="A50021" w:themeColor="accent2"/>
        </w:rPr>
        <w:t xml:space="preserve"> is to inform the NEPA and CEQA decisions with background information and project-specific analysis related to the project</w:t>
      </w:r>
      <w:r w:rsidR="00D41864" w:rsidRPr="00835947">
        <w:rPr>
          <w:color w:val="A50021" w:themeColor="accent2"/>
        </w:rPr>
        <w:t xml:space="preserve">.  </w:t>
      </w:r>
      <w:r w:rsidRPr="00835947">
        <w:rPr>
          <w:color w:val="A50021" w:themeColor="accent2"/>
        </w:rPr>
        <w:t>The findings are as follows</w:t>
      </w:r>
      <w:r w:rsidR="00D41864" w:rsidRPr="00835947">
        <w:rPr>
          <w:color w:val="A50021" w:themeColor="accent2"/>
        </w:rPr>
        <w:t>.</w:t>
      </w:r>
      <w:r w:rsidR="00D41864">
        <w:rPr>
          <w:color w:val="A50021" w:themeColor="accent2"/>
        </w:rPr>
        <w:t xml:space="preserve">  </w:t>
      </w:r>
      <w:r w:rsidRPr="00752C53">
        <w:rPr>
          <w:b/>
          <w:bCs/>
          <w:color w:val="0000FF" w:themeColor="accent1"/>
        </w:rPr>
        <w:t xml:space="preserve">[End </w:t>
      </w:r>
      <w:r>
        <w:rPr>
          <w:b/>
          <w:bCs/>
          <w:color w:val="0000FF" w:themeColor="accent1"/>
        </w:rPr>
        <w:t>boilerplate</w:t>
      </w:r>
      <w:r w:rsidRPr="00752C53">
        <w:rPr>
          <w:b/>
          <w:bCs/>
          <w:color w:val="0000FF" w:themeColor="accent1"/>
        </w:rPr>
        <w:t>]</w:t>
      </w:r>
    </w:p>
    <w:p w14:paraId="62224E87" w14:textId="70CC8C58" w:rsidR="00C819F8" w:rsidRPr="009D25E5" w:rsidRDefault="00C819F8" w:rsidP="00C819F8">
      <w:pPr>
        <w:rPr>
          <w:color w:val="800080" w:themeColor="accent3"/>
        </w:rPr>
      </w:pPr>
      <w:r w:rsidRPr="00C819F8">
        <w:rPr>
          <w:color w:val="0000FF" w:themeColor="accent1"/>
        </w:rPr>
        <w:t>Summarize the discussions of direct and indirect energy and regulatory consistency</w:t>
      </w:r>
      <w:r w:rsidR="00D41864" w:rsidRPr="00C819F8">
        <w:rPr>
          <w:color w:val="0000FF" w:themeColor="accent1"/>
        </w:rPr>
        <w:t xml:space="preserve">.  </w:t>
      </w:r>
      <w:r w:rsidRPr="00C819F8">
        <w:rPr>
          <w:color w:val="0000FF" w:themeColor="accent1"/>
        </w:rPr>
        <w:t xml:space="preserve">No determination regarding the </w:t>
      </w:r>
      <w:r w:rsidRPr="005A03D1">
        <w:rPr>
          <w:color w:val="0000FF" w:themeColor="accent1"/>
        </w:rPr>
        <w:t>significance</w:t>
      </w:r>
      <w:r w:rsidRPr="00C819F8">
        <w:rPr>
          <w:color w:val="0000FF" w:themeColor="accent1"/>
        </w:rPr>
        <w:t xml:space="preserve"> of project impacts on energy resources should be discussed</w:t>
      </w:r>
      <w:r w:rsidR="00D41864" w:rsidRPr="00C819F8">
        <w:rPr>
          <w:color w:val="0000FF" w:themeColor="accent1"/>
        </w:rPr>
        <w:t xml:space="preserve">.  </w:t>
      </w:r>
      <w:r w:rsidRPr="00C819F8">
        <w:rPr>
          <w:color w:val="0000FF" w:themeColor="accent1"/>
        </w:rPr>
        <w:t>This section should include material</w:t>
      </w:r>
      <w:r w:rsidR="007B0D53">
        <w:rPr>
          <w:color w:val="0000FF" w:themeColor="accent1"/>
        </w:rPr>
        <w:t xml:space="preserve"> similar</w:t>
      </w:r>
      <w:r w:rsidR="007B0D53" w:rsidRPr="00C819F8">
        <w:rPr>
          <w:color w:val="0000FF" w:themeColor="accent1"/>
        </w:rPr>
        <w:t xml:space="preserve"> </w:t>
      </w:r>
      <w:r w:rsidR="007B0D53">
        <w:rPr>
          <w:color w:val="0000FF" w:themeColor="accent1"/>
        </w:rPr>
        <w:t xml:space="preserve">to what is </w:t>
      </w:r>
      <w:r w:rsidRPr="00C819F8">
        <w:rPr>
          <w:color w:val="0000FF" w:themeColor="accent1"/>
        </w:rPr>
        <w:t xml:space="preserve">provided in the </w:t>
      </w:r>
      <w:r w:rsidRPr="00C819F8">
        <w:rPr>
          <w:i/>
          <w:iCs/>
          <w:color w:val="0000FF" w:themeColor="accent1"/>
        </w:rPr>
        <w:t xml:space="preserve">Executive </w:t>
      </w:r>
      <w:r w:rsidRPr="00E1501F">
        <w:rPr>
          <w:color w:val="0000FF" w:themeColor="accent1"/>
        </w:rPr>
        <w:t>Summary</w:t>
      </w:r>
      <w:r w:rsidR="00E1501F">
        <w:rPr>
          <w:color w:val="0000FF" w:themeColor="accent1"/>
        </w:rPr>
        <w:t xml:space="preserve">, </w:t>
      </w:r>
      <w:r w:rsidR="00E1501F" w:rsidRPr="00E1501F">
        <w:rPr>
          <w:color w:val="0000FF" w:themeColor="accent1"/>
        </w:rPr>
        <w:t xml:space="preserve">with additional analysis details as </w:t>
      </w:r>
      <w:r w:rsidR="00E1501F">
        <w:rPr>
          <w:color w:val="0000FF" w:themeColor="accent1"/>
        </w:rPr>
        <w:t>appropriate</w:t>
      </w:r>
      <w:r w:rsidRPr="00C819F8">
        <w:rPr>
          <w:color w:val="0000FF" w:themeColor="accent1"/>
        </w:rPr>
        <w:t xml:space="preserve">. </w:t>
      </w:r>
      <w:r w:rsidR="00F56C3C">
        <w:rPr>
          <w:color w:val="0000FF" w:themeColor="accent1"/>
        </w:rPr>
        <w:t xml:space="preserve"> </w:t>
      </w:r>
      <w:r w:rsidRPr="00C819F8">
        <w:rPr>
          <w:color w:val="0000FF" w:themeColor="accent1"/>
        </w:rPr>
        <w:t xml:space="preserve">Information can be presented using bullets or in narrative prose. </w:t>
      </w:r>
      <w:r w:rsidR="00F56C3C">
        <w:rPr>
          <w:color w:val="0000FF" w:themeColor="accent1"/>
        </w:rPr>
        <w:t xml:space="preserve"> The following is example language.</w:t>
      </w:r>
      <w:r w:rsidR="00F56C3C" w:rsidRPr="006B3F76" w:rsidDel="007C79D3">
        <w:rPr>
          <w:color w:val="800080" w:themeColor="accent3"/>
        </w:rPr>
        <w:t xml:space="preserve"> </w:t>
      </w:r>
      <w:r w:rsidR="00572FC0">
        <w:rPr>
          <w:color w:val="800080" w:themeColor="accent3"/>
        </w:rPr>
        <w:t xml:space="preserve"> </w:t>
      </w:r>
      <w:r w:rsidR="00572FC0">
        <w:rPr>
          <w:color w:val="0000FF" w:themeColor="accent1"/>
        </w:rPr>
        <w:t xml:space="preserve">Note that numeric results are not presented and </w:t>
      </w:r>
      <w:r w:rsidR="003B3AB5">
        <w:rPr>
          <w:color w:val="0000FF" w:themeColor="accent1"/>
        </w:rPr>
        <w:t xml:space="preserve">are </w:t>
      </w:r>
      <w:r w:rsidR="00572FC0">
        <w:rPr>
          <w:color w:val="0000FF" w:themeColor="accent1"/>
        </w:rPr>
        <w:t>shown as [value].</w:t>
      </w:r>
    </w:p>
    <w:p w14:paraId="46B8C02B" w14:textId="75FD6DAA" w:rsidR="005570EA" w:rsidRDefault="0077425A" w:rsidP="0077425A">
      <w:pPr>
        <w:numPr>
          <w:ilvl w:val="0"/>
          <w:numId w:val="24"/>
        </w:numPr>
        <w:rPr>
          <w:color w:val="800080" w:themeColor="accent3"/>
        </w:rPr>
      </w:pPr>
      <w:r w:rsidRPr="005570EA">
        <w:rPr>
          <w:b/>
          <w:bCs/>
          <w:color w:val="800080" w:themeColor="accent3"/>
        </w:rPr>
        <w:t>Direct Energy</w:t>
      </w:r>
      <w:r w:rsidRPr="0077425A">
        <w:rPr>
          <w:color w:val="800080" w:themeColor="accent3"/>
        </w:rPr>
        <w:t xml:space="preserve">: </w:t>
      </w:r>
      <w:r w:rsidR="005570EA" w:rsidRPr="005570EA">
        <w:rPr>
          <w:color w:val="800080" w:themeColor="accent3"/>
        </w:rPr>
        <w:t xml:space="preserve">Compared to the No-Build Alternative, Alternative 1 would reduce direct energy by </w:t>
      </w:r>
      <w:r w:rsidR="00572FC0">
        <w:rPr>
          <w:color w:val="800080" w:themeColor="accent3"/>
        </w:rPr>
        <w:t>[value]</w:t>
      </w:r>
      <w:r w:rsidR="005570EA" w:rsidRPr="005570EA">
        <w:rPr>
          <w:color w:val="800080" w:themeColor="accent3"/>
        </w:rPr>
        <w:t xml:space="preserve"> BTUs under opening (2025) year conditions and by </w:t>
      </w:r>
      <w:r w:rsidR="00572FC0">
        <w:rPr>
          <w:color w:val="800080" w:themeColor="accent3"/>
        </w:rPr>
        <w:t>[value]</w:t>
      </w:r>
      <w:r w:rsidR="00572FC0" w:rsidRPr="005570EA">
        <w:rPr>
          <w:color w:val="800080" w:themeColor="accent3"/>
        </w:rPr>
        <w:t xml:space="preserve"> </w:t>
      </w:r>
      <w:r w:rsidR="005570EA" w:rsidRPr="005570EA">
        <w:rPr>
          <w:color w:val="800080" w:themeColor="accent3"/>
        </w:rPr>
        <w:t xml:space="preserve">BTUs under design (2045) year conditions.  Alternative 2 would reduce direct energy by </w:t>
      </w:r>
      <w:r w:rsidR="00572FC0">
        <w:rPr>
          <w:color w:val="800080" w:themeColor="accent3"/>
        </w:rPr>
        <w:t>[value]</w:t>
      </w:r>
      <w:r w:rsidR="00572FC0" w:rsidRPr="005570EA">
        <w:rPr>
          <w:color w:val="800080" w:themeColor="accent3"/>
        </w:rPr>
        <w:t xml:space="preserve"> </w:t>
      </w:r>
      <w:r w:rsidR="005570EA" w:rsidRPr="005570EA">
        <w:rPr>
          <w:color w:val="800080" w:themeColor="accent3"/>
        </w:rPr>
        <w:t xml:space="preserve">BTUs and </w:t>
      </w:r>
      <w:r w:rsidR="00572FC0">
        <w:rPr>
          <w:color w:val="800080" w:themeColor="accent3"/>
        </w:rPr>
        <w:t>[value]</w:t>
      </w:r>
      <w:r w:rsidR="00572FC0" w:rsidRPr="005570EA">
        <w:rPr>
          <w:color w:val="800080" w:themeColor="accent3"/>
        </w:rPr>
        <w:t xml:space="preserve"> </w:t>
      </w:r>
      <w:r w:rsidR="005570EA" w:rsidRPr="005570EA">
        <w:rPr>
          <w:color w:val="800080" w:themeColor="accent3"/>
        </w:rPr>
        <w:t>BTUs under opening (2025) and design (2045) year conditions, respectively.  The transportation improvements implemented by the project</w:t>
      </w:r>
      <w:r w:rsidR="005570EA">
        <w:rPr>
          <w:color w:val="800080" w:themeColor="accent3"/>
        </w:rPr>
        <w:t xml:space="preserve"> </w:t>
      </w:r>
      <w:r w:rsidR="005570EA" w:rsidRPr="005570EA">
        <w:rPr>
          <w:color w:val="800080" w:themeColor="accent3"/>
        </w:rPr>
        <w:t>would improve traffic flow during peak travel demand periods and reduce stop-and-go conditions</w:t>
      </w:r>
      <w:r w:rsidR="005570EA">
        <w:rPr>
          <w:color w:val="800080" w:themeColor="accent3"/>
        </w:rPr>
        <w:t>, resulting in a more efficient use of direct energy relative</w:t>
      </w:r>
      <w:r w:rsidR="005570EA" w:rsidRPr="005570EA">
        <w:rPr>
          <w:color w:val="800080" w:themeColor="accent3"/>
        </w:rPr>
        <w:t xml:space="preserve"> to the No-Build Alternative</w:t>
      </w:r>
      <w:r w:rsidR="005570EA">
        <w:rPr>
          <w:color w:val="800080" w:themeColor="accent3"/>
        </w:rPr>
        <w:t>.</w:t>
      </w:r>
    </w:p>
    <w:p w14:paraId="3460A843" w14:textId="230B1F47" w:rsidR="0077425A" w:rsidRPr="0077425A" w:rsidRDefault="005570EA" w:rsidP="005570EA">
      <w:pPr>
        <w:ind w:left="720"/>
        <w:rPr>
          <w:color w:val="800080" w:themeColor="accent3"/>
        </w:rPr>
      </w:pPr>
      <w:r>
        <w:rPr>
          <w:color w:val="800080" w:themeColor="accent3"/>
        </w:rPr>
        <w:t>Compared to existing (202</w:t>
      </w:r>
      <w:r w:rsidR="00A80868">
        <w:rPr>
          <w:color w:val="800080" w:themeColor="accent3"/>
        </w:rPr>
        <w:t>3</w:t>
      </w:r>
      <w:r>
        <w:rPr>
          <w:color w:val="800080" w:themeColor="accent3"/>
        </w:rPr>
        <w:t xml:space="preserve">) conditions, </w:t>
      </w:r>
      <w:r w:rsidRPr="005570EA">
        <w:rPr>
          <w:color w:val="800080" w:themeColor="accent3"/>
        </w:rPr>
        <w:t xml:space="preserve">direct energy consumption in the project area under opening (2025) and design (2045) year conditions </w:t>
      </w:r>
      <w:r>
        <w:rPr>
          <w:color w:val="800080" w:themeColor="accent3"/>
        </w:rPr>
        <w:t>would</w:t>
      </w:r>
      <w:r w:rsidRPr="005570EA">
        <w:rPr>
          <w:color w:val="800080" w:themeColor="accent3"/>
        </w:rPr>
        <w:t xml:space="preserve"> increase with or without the project</w:t>
      </w:r>
      <w:r>
        <w:rPr>
          <w:color w:val="800080" w:themeColor="accent3"/>
        </w:rPr>
        <w:t xml:space="preserve"> due to</w:t>
      </w:r>
      <w:r w:rsidRPr="005570EA">
        <w:rPr>
          <w:color w:val="800080" w:themeColor="accent3"/>
        </w:rPr>
        <w:t xml:space="preserve"> growth in regional VMT.  </w:t>
      </w:r>
      <w:r w:rsidRPr="005A03D1">
        <w:rPr>
          <w:color w:val="800080" w:themeColor="accent3"/>
        </w:rPr>
        <w:t>However, while direct energy in the project aera would increase in the future, the amount of increase is projected to be less than the rate of VMT growth</w:t>
      </w:r>
      <w:r w:rsidR="00D41864" w:rsidRPr="005A03D1">
        <w:rPr>
          <w:color w:val="800080" w:themeColor="accent3"/>
        </w:rPr>
        <w:t xml:space="preserve">.  </w:t>
      </w:r>
      <w:r w:rsidRPr="005A03D1">
        <w:rPr>
          <w:color w:val="800080" w:themeColor="accent3"/>
        </w:rPr>
        <w:t>This is because of future improvements in vehicle fuel economy and penetration of more efficient electric vehicles stemming from various energy policies and legislation.</w:t>
      </w:r>
      <w:r w:rsidRPr="005570EA">
        <w:rPr>
          <w:color w:val="800080" w:themeColor="accent3"/>
        </w:rPr>
        <w:t xml:space="preserve">  </w:t>
      </w:r>
    </w:p>
    <w:p w14:paraId="7B23E7AE" w14:textId="4F2E955C" w:rsidR="0077425A" w:rsidRPr="0077425A" w:rsidRDefault="0077425A" w:rsidP="0077425A">
      <w:pPr>
        <w:numPr>
          <w:ilvl w:val="0"/>
          <w:numId w:val="24"/>
        </w:numPr>
        <w:rPr>
          <w:color w:val="800080" w:themeColor="accent3"/>
        </w:rPr>
      </w:pPr>
      <w:r w:rsidRPr="005570EA">
        <w:rPr>
          <w:b/>
          <w:bCs/>
          <w:color w:val="800080" w:themeColor="accent3"/>
        </w:rPr>
        <w:t>Indirect Energy</w:t>
      </w:r>
      <w:r w:rsidR="005570EA" w:rsidRPr="005570EA">
        <w:rPr>
          <w:b/>
          <w:bCs/>
          <w:color w:val="800080" w:themeColor="accent3"/>
        </w:rPr>
        <w:t xml:space="preserve"> (Construction)</w:t>
      </w:r>
      <w:r w:rsidRPr="0077425A">
        <w:rPr>
          <w:color w:val="800080" w:themeColor="accent3"/>
        </w:rPr>
        <w:t xml:space="preserve">: </w:t>
      </w:r>
      <w:r w:rsidR="005570EA" w:rsidRPr="005570EA">
        <w:rPr>
          <w:color w:val="800080" w:themeColor="accent3"/>
        </w:rPr>
        <w:t xml:space="preserve">Construction of either build alternative would require equipment and vehicles that consume diesel and gasoline.  Temporary construction trailers and site lighting would also consume electricity.  Alternative 1 would consume </w:t>
      </w:r>
      <w:r w:rsidR="00572FC0">
        <w:rPr>
          <w:color w:val="800080" w:themeColor="accent3"/>
        </w:rPr>
        <w:t xml:space="preserve">[value] </w:t>
      </w:r>
      <w:r w:rsidR="005570EA" w:rsidRPr="005570EA">
        <w:rPr>
          <w:color w:val="800080" w:themeColor="accent3"/>
        </w:rPr>
        <w:t xml:space="preserve">BTUs over the </w:t>
      </w:r>
      <w:r w:rsidR="00762BB4">
        <w:rPr>
          <w:color w:val="800080" w:themeColor="accent3"/>
        </w:rPr>
        <w:t>two</w:t>
      </w:r>
      <w:r w:rsidR="005570EA" w:rsidRPr="005570EA">
        <w:rPr>
          <w:color w:val="800080" w:themeColor="accent3"/>
        </w:rPr>
        <w:t xml:space="preserve">-year construction period and Alternative 2 would consume </w:t>
      </w:r>
      <w:r w:rsidR="00566B8A">
        <w:rPr>
          <w:color w:val="800080" w:themeColor="accent3"/>
        </w:rPr>
        <w:t>[value]</w:t>
      </w:r>
      <w:r w:rsidR="00566B8A" w:rsidRPr="005570EA">
        <w:rPr>
          <w:color w:val="800080" w:themeColor="accent3"/>
        </w:rPr>
        <w:t xml:space="preserve"> </w:t>
      </w:r>
      <w:r w:rsidR="005570EA" w:rsidRPr="005570EA">
        <w:rPr>
          <w:color w:val="800080" w:themeColor="accent3"/>
        </w:rPr>
        <w:t xml:space="preserve">BTUs.  </w:t>
      </w:r>
      <w:r w:rsidR="005570EA">
        <w:rPr>
          <w:color w:val="800080" w:themeColor="accent3"/>
        </w:rPr>
        <w:t>Indirect e</w:t>
      </w:r>
      <w:r w:rsidR="005570EA" w:rsidRPr="005570EA">
        <w:rPr>
          <w:color w:val="800080" w:themeColor="accent3"/>
        </w:rPr>
        <w:t xml:space="preserve">nergy consumed during construction of either build alternative would be temporary </w:t>
      </w:r>
      <w:proofErr w:type="gramStart"/>
      <w:r w:rsidR="005570EA" w:rsidRPr="005570EA">
        <w:rPr>
          <w:color w:val="800080" w:themeColor="accent3"/>
        </w:rPr>
        <w:t>and</w:t>
      </w:r>
      <w:proofErr w:type="gramEnd"/>
      <w:r w:rsidR="005570EA" w:rsidRPr="005570EA">
        <w:rPr>
          <w:color w:val="800080" w:themeColor="accent3"/>
        </w:rPr>
        <w:t xml:space="preserve"> would not result in a permanent increase in statewide annual energy consumption</w:t>
      </w:r>
      <w:r w:rsidR="005570EA">
        <w:rPr>
          <w:color w:val="800080" w:themeColor="accent3"/>
        </w:rPr>
        <w:t>.</w:t>
      </w:r>
    </w:p>
    <w:p w14:paraId="602594FA" w14:textId="6C13D438" w:rsidR="005570EA" w:rsidRPr="0077425A" w:rsidRDefault="005570EA" w:rsidP="005570EA">
      <w:pPr>
        <w:numPr>
          <w:ilvl w:val="0"/>
          <w:numId w:val="24"/>
        </w:numPr>
        <w:rPr>
          <w:color w:val="800080" w:themeColor="accent3"/>
        </w:rPr>
      </w:pPr>
      <w:r w:rsidRPr="005570EA">
        <w:rPr>
          <w:b/>
          <w:bCs/>
          <w:color w:val="800080" w:themeColor="accent3"/>
        </w:rPr>
        <w:t>Indirect Energy (Maintenance)</w:t>
      </w:r>
      <w:r w:rsidRPr="0077425A">
        <w:rPr>
          <w:color w:val="800080" w:themeColor="accent3"/>
        </w:rPr>
        <w:t xml:space="preserve">: </w:t>
      </w:r>
      <w:r w:rsidRPr="005570EA">
        <w:rPr>
          <w:color w:val="800080" w:themeColor="accent3"/>
        </w:rPr>
        <w:t xml:space="preserve">Maintenance of either build alternative would require equipment and vehicles that consume gasoline and diesel.  </w:t>
      </w:r>
      <w:r>
        <w:rPr>
          <w:color w:val="800080" w:themeColor="accent3"/>
        </w:rPr>
        <w:t xml:space="preserve">These required maintenance activities would </w:t>
      </w:r>
      <w:r w:rsidRPr="005B205B">
        <w:rPr>
          <w:color w:val="800080" w:themeColor="accent3"/>
        </w:rPr>
        <w:t xml:space="preserve">occur </w:t>
      </w:r>
      <w:r>
        <w:rPr>
          <w:color w:val="800080" w:themeColor="accent3"/>
        </w:rPr>
        <w:t xml:space="preserve">with or without the project.  </w:t>
      </w:r>
      <w:r w:rsidR="00421ADC" w:rsidRPr="00D952B0">
        <w:rPr>
          <w:color w:val="800080" w:themeColor="accent3"/>
        </w:rPr>
        <w:t>However, t</w:t>
      </w:r>
      <w:r w:rsidR="004D7FCF" w:rsidRPr="00D952B0">
        <w:rPr>
          <w:color w:val="800080" w:themeColor="accent3"/>
        </w:rPr>
        <w:t>he frequency of long-term maintenance of the various roadways within the project area would be reduced with implementation of either build alternative.</w:t>
      </w:r>
      <w:r w:rsidR="004D7FCF" w:rsidRPr="005B205B">
        <w:rPr>
          <w:color w:val="800080" w:themeColor="accent3"/>
        </w:rPr>
        <w:t xml:space="preserve">  </w:t>
      </w:r>
      <w:r w:rsidRPr="005570EA">
        <w:rPr>
          <w:color w:val="800080" w:themeColor="accent3"/>
        </w:rPr>
        <w:lastRenderedPageBreak/>
        <w:t xml:space="preserve">Thus, implementation of the project would </w:t>
      </w:r>
      <w:r w:rsidR="00421ADC">
        <w:rPr>
          <w:color w:val="800080" w:themeColor="accent3"/>
        </w:rPr>
        <w:t>reduce</w:t>
      </w:r>
      <w:r w:rsidRPr="005570EA">
        <w:rPr>
          <w:color w:val="800080" w:themeColor="accent3"/>
        </w:rPr>
        <w:t xml:space="preserve"> maintenance energy relative to the No-Build Alternative</w:t>
      </w:r>
      <w:r w:rsidR="00421ADC">
        <w:rPr>
          <w:color w:val="800080" w:themeColor="accent3"/>
        </w:rPr>
        <w:t xml:space="preserve"> and existing conditions</w:t>
      </w:r>
      <w:r w:rsidR="00D41864">
        <w:rPr>
          <w:color w:val="800080" w:themeColor="accent3"/>
        </w:rPr>
        <w:t xml:space="preserve">.  </w:t>
      </w:r>
      <w:r w:rsidRPr="005570EA">
        <w:rPr>
          <w:color w:val="800080" w:themeColor="accent3"/>
        </w:rPr>
        <w:t>Compared to existing (202</w:t>
      </w:r>
      <w:r w:rsidR="00A80868">
        <w:rPr>
          <w:color w:val="800080" w:themeColor="accent3"/>
        </w:rPr>
        <w:t>3</w:t>
      </w:r>
      <w:r w:rsidRPr="005570EA">
        <w:rPr>
          <w:color w:val="800080" w:themeColor="accent3"/>
        </w:rPr>
        <w:t>) conditions, maintenance of either build alternative would decrease indirect energy</w:t>
      </w:r>
      <w:r w:rsidR="00C50745">
        <w:rPr>
          <w:color w:val="800080" w:themeColor="accent3"/>
        </w:rPr>
        <w:t xml:space="preserve"> by </w:t>
      </w:r>
      <w:r w:rsidR="00421ADC">
        <w:rPr>
          <w:color w:val="800080" w:themeColor="accent3"/>
        </w:rPr>
        <w:t>[value]</w:t>
      </w:r>
      <w:r w:rsidR="00C50745">
        <w:rPr>
          <w:color w:val="800080" w:themeColor="accent3"/>
        </w:rPr>
        <w:t xml:space="preserve"> BTUs and </w:t>
      </w:r>
      <w:r w:rsidR="00421ADC">
        <w:rPr>
          <w:color w:val="800080" w:themeColor="accent3"/>
        </w:rPr>
        <w:t xml:space="preserve">[value] </w:t>
      </w:r>
      <w:r w:rsidR="00C50745">
        <w:rPr>
          <w:color w:val="800080" w:themeColor="accent3"/>
        </w:rPr>
        <w:t>BTUs under opening (2025) and design (2045) year conditions, respectively</w:t>
      </w:r>
      <w:r w:rsidR="00D41864" w:rsidRPr="005570EA">
        <w:rPr>
          <w:color w:val="800080" w:themeColor="accent3"/>
        </w:rPr>
        <w:t>.</w:t>
      </w:r>
    </w:p>
    <w:p w14:paraId="6D41948B" w14:textId="294C3ABA" w:rsidR="005570EA" w:rsidRPr="0077425A" w:rsidRDefault="005570EA" w:rsidP="005570EA">
      <w:pPr>
        <w:numPr>
          <w:ilvl w:val="0"/>
          <w:numId w:val="24"/>
        </w:numPr>
        <w:rPr>
          <w:color w:val="800080" w:themeColor="accent3"/>
        </w:rPr>
      </w:pPr>
      <w:r w:rsidRPr="005570EA">
        <w:rPr>
          <w:b/>
          <w:bCs/>
          <w:color w:val="800080" w:themeColor="accent3"/>
        </w:rPr>
        <w:t>Indirect Energy (Operations)</w:t>
      </w:r>
      <w:r w:rsidRPr="0077425A">
        <w:rPr>
          <w:color w:val="800080" w:themeColor="accent3"/>
        </w:rPr>
        <w:t xml:space="preserve">: </w:t>
      </w:r>
      <w:r w:rsidRPr="005570EA">
        <w:rPr>
          <w:color w:val="800080" w:themeColor="accent3"/>
        </w:rPr>
        <w:t>Operation of new and modified traffic lights and street</w:t>
      </w:r>
      <w:r w:rsidR="00B50860">
        <w:rPr>
          <w:color w:val="800080" w:themeColor="accent3"/>
        </w:rPr>
        <w:t xml:space="preserve"> </w:t>
      </w:r>
      <w:r w:rsidRPr="005570EA">
        <w:rPr>
          <w:color w:val="800080" w:themeColor="accent3"/>
        </w:rPr>
        <w:t>lights in the project area would consume electricity</w:t>
      </w:r>
      <w:r>
        <w:rPr>
          <w:color w:val="800080" w:themeColor="accent3"/>
        </w:rPr>
        <w:t xml:space="preserve"> under either build alternative.  </w:t>
      </w:r>
      <w:r w:rsidRPr="004F24C2">
        <w:rPr>
          <w:color w:val="800080" w:themeColor="accent3"/>
        </w:rPr>
        <w:t>LED</w:t>
      </w:r>
      <w:r w:rsidRPr="005570EA">
        <w:rPr>
          <w:color w:val="800080" w:themeColor="accent3"/>
        </w:rPr>
        <w:t xml:space="preserve"> fixtures would be used wherever street</w:t>
      </w:r>
      <w:r w:rsidR="00B50860">
        <w:rPr>
          <w:color w:val="800080" w:themeColor="accent3"/>
        </w:rPr>
        <w:t xml:space="preserve"> </w:t>
      </w:r>
      <w:r w:rsidRPr="005570EA">
        <w:rPr>
          <w:color w:val="800080" w:themeColor="accent3"/>
        </w:rPr>
        <w:t xml:space="preserve">lights </w:t>
      </w:r>
      <w:r>
        <w:rPr>
          <w:color w:val="800080" w:themeColor="accent3"/>
        </w:rPr>
        <w:t xml:space="preserve">and </w:t>
      </w:r>
      <w:r w:rsidRPr="005570EA">
        <w:rPr>
          <w:color w:val="800080" w:themeColor="accent3"/>
        </w:rPr>
        <w:t>traffic lights are installed or replaced</w:t>
      </w:r>
      <w:r>
        <w:rPr>
          <w:color w:val="800080" w:themeColor="accent3"/>
        </w:rPr>
        <w:t xml:space="preserve"> by the project.  Because LED fixtures are more </w:t>
      </w:r>
      <w:r w:rsidR="00E1501F">
        <w:rPr>
          <w:color w:val="800080" w:themeColor="accent3"/>
        </w:rPr>
        <w:t>efficient than</w:t>
      </w:r>
      <w:r>
        <w:rPr>
          <w:color w:val="800080" w:themeColor="accent3"/>
        </w:rPr>
        <w:t xml:space="preserve"> </w:t>
      </w:r>
      <w:r w:rsidRPr="009523D8">
        <w:rPr>
          <w:color w:val="800080" w:themeColor="accent3"/>
        </w:rPr>
        <w:t>incandescent bulbs</w:t>
      </w:r>
      <w:r>
        <w:rPr>
          <w:color w:val="800080" w:themeColor="accent3"/>
        </w:rPr>
        <w:t xml:space="preserve">, </w:t>
      </w:r>
      <w:r w:rsidR="00C50745" w:rsidRPr="00C50745">
        <w:rPr>
          <w:color w:val="800080" w:themeColor="accent3"/>
        </w:rPr>
        <w:t xml:space="preserve">operational indirect energy would decrease under either build alternative </w:t>
      </w:r>
      <w:r w:rsidR="00C50745">
        <w:rPr>
          <w:color w:val="800080" w:themeColor="accent3"/>
        </w:rPr>
        <w:t xml:space="preserve">by </w:t>
      </w:r>
      <w:r w:rsidR="00566B8A">
        <w:rPr>
          <w:color w:val="800080" w:themeColor="accent3"/>
        </w:rPr>
        <w:t>[value]</w:t>
      </w:r>
      <w:r w:rsidR="00566B8A" w:rsidRPr="005570EA">
        <w:rPr>
          <w:color w:val="800080" w:themeColor="accent3"/>
        </w:rPr>
        <w:t xml:space="preserve"> </w:t>
      </w:r>
      <w:r w:rsidR="00C50745">
        <w:rPr>
          <w:color w:val="800080" w:themeColor="accent3"/>
        </w:rPr>
        <w:t xml:space="preserve">BTUs per year </w:t>
      </w:r>
      <w:r w:rsidR="00C50745" w:rsidRPr="00C50745">
        <w:rPr>
          <w:color w:val="800080" w:themeColor="accent3"/>
        </w:rPr>
        <w:t>compared to the No-Build Alternative and existing conditions</w:t>
      </w:r>
      <w:r w:rsidR="00C50745">
        <w:rPr>
          <w:color w:val="800080" w:themeColor="accent3"/>
        </w:rPr>
        <w:t xml:space="preserve">. </w:t>
      </w:r>
    </w:p>
    <w:p w14:paraId="6F6DB0FA" w14:textId="6C75B6BA" w:rsidR="00F81D87" w:rsidRPr="0077425A" w:rsidRDefault="0077425A" w:rsidP="0099598E">
      <w:pPr>
        <w:numPr>
          <w:ilvl w:val="0"/>
          <w:numId w:val="24"/>
        </w:numPr>
        <w:rPr>
          <w:color w:val="800080" w:themeColor="accent3"/>
        </w:rPr>
      </w:pPr>
      <w:r w:rsidRPr="00C50745">
        <w:rPr>
          <w:b/>
          <w:bCs/>
          <w:color w:val="800080" w:themeColor="accent3"/>
        </w:rPr>
        <w:t>Regulatory Consistency</w:t>
      </w:r>
      <w:r w:rsidRPr="0077425A">
        <w:rPr>
          <w:color w:val="800080" w:themeColor="accent3"/>
        </w:rPr>
        <w:t xml:space="preserve">: </w:t>
      </w:r>
      <w:r w:rsidR="00C50745" w:rsidRPr="00C50745">
        <w:rPr>
          <w:color w:val="800080" w:themeColor="accent3"/>
        </w:rPr>
        <w:t>The proposed project would improve travel time reliability within the I-400 corridor and improve traffic flow by reducing congestion and increasing vehicle speeds</w:t>
      </w:r>
      <w:r w:rsidR="00D41864" w:rsidRPr="00C50745">
        <w:rPr>
          <w:color w:val="800080" w:themeColor="accent3"/>
        </w:rPr>
        <w:t xml:space="preserve">.  </w:t>
      </w:r>
      <w:r w:rsidR="00C50745" w:rsidRPr="00C50745">
        <w:rPr>
          <w:color w:val="800080" w:themeColor="accent3"/>
        </w:rPr>
        <w:t>The TSM elements (e.g., bicycle and pedestrian facilities) incorporated into the design of the build alternatives will likewise promote the efficient flow of traffic, support mode shift, and reduce fossil fuel (i.e., non-renewable) consumption for transportation</w:t>
      </w:r>
      <w:r w:rsidR="00D41864" w:rsidRPr="00C50745">
        <w:rPr>
          <w:color w:val="800080" w:themeColor="accent3"/>
        </w:rPr>
        <w:t xml:space="preserve">.  </w:t>
      </w:r>
      <w:r w:rsidR="00C50745" w:rsidRPr="00C50745">
        <w:rPr>
          <w:color w:val="800080" w:themeColor="accent3"/>
        </w:rPr>
        <w:t>While indirect energy would be consumed during construction, project design features and best management practices would be implemented to conserve energy and reduce diesel fuel consumption</w:t>
      </w:r>
      <w:r w:rsidR="00D41864" w:rsidRPr="00C50745">
        <w:rPr>
          <w:color w:val="800080" w:themeColor="accent3"/>
        </w:rPr>
        <w:t xml:space="preserve">.  </w:t>
      </w:r>
      <w:r w:rsidR="00C50745" w:rsidRPr="00C50745">
        <w:rPr>
          <w:color w:val="800080" w:themeColor="accent3"/>
        </w:rPr>
        <w:t>The new and replaced street</w:t>
      </w:r>
      <w:r w:rsidR="00B50860">
        <w:rPr>
          <w:color w:val="800080" w:themeColor="accent3"/>
        </w:rPr>
        <w:t xml:space="preserve"> </w:t>
      </w:r>
      <w:r w:rsidR="00C50745" w:rsidRPr="00C50745">
        <w:rPr>
          <w:color w:val="800080" w:themeColor="accent3"/>
        </w:rPr>
        <w:t>lights and traffic signals would use LED fixtures, thus achieving operational improvements in energy efficiency.  Ultimately, the project design and associated energy conservation features would be consistent with energy regulations and policies promoting energy efficiency and renewable energy</w:t>
      </w:r>
      <w:r w:rsidR="00C50745">
        <w:rPr>
          <w:color w:val="800080" w:themeColor="accent3"/>
        </w:rPr>
        <w:t xml:space="preserve">. </w:t>
      </w:r>
      <w:r w:rsidR="00C50745" w:rsidRPr="00C50745">
        <w:rPr>
          <w:b/>
          <w:bCs/>
          <w:color w:val="800080" w:themeColor="accent3"/>
        </w:rPr>
        <w:t xml:space="preserve"> </w:t>
      </w:r>
      <w:r w:rsidRPr="00752C53">
        <w:rPr>
          <w:b/>
          <w:bCs/>
          <w:color w:val="0000FF" w:themeColor="accent1"/>
        </w:rPr>
        <w:t xml:space="preserve">[End </w:t>
      </w:r>
      <w:r w:rsidRPr="00207B23">
        <w:rPr>
          <w:b/>
          <w:bCs/>
          <w:color w:val="0000FF" w:themeColor="accent1"/>
        </w:rPr>
        <w:t>example</w:t>
      </w:r>
      <w:r w:rsidRPr="00752C53">
        <w:rPr>
          <w:b/>
          <w:bCs/>
          <w:color w:val="0000FF" w:themeColor="accent1"/>
        </w:rPr>
        <w:t>]</w:t>
      </w:r>
    </w:p>
    <w:p w14:paraId="51192A5E" w14:textId="0BA1E25C" w:rsidR="0099598E" w:rsidRPr="00612793" w:rsidRDefault="0099598E" w:rsidP="0099598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4A875" w14:textId="77777777" w:rsidR="002F694D" w:rsidRDefault="002F694D" w:rsidP="0099598E">
      <w:pPr>
        <w:pStyle w:val="Heading1"/>
        <w:sectPr w:rsidR="002F694D" w:rsidSect="00203664">
          <w:pgSz w:w="12240" w:h="15840"/>
          <w:pgMar w:top="1440" w:right="1440" w:bottom="1440" w:left="1440" w:header="720" w:footer="720" w:gutter="0"/>
          <w:cols w:space="720"/>
          <w:docGrid w:linePitch="360"/>
        </w:sectPr>
      </w:pPr>
    </w:p>
    <w:p w14:paraId="5AEAE534" w14:textId="7C6BE654" w:rsidR="0099598E" w:rsidRDefault="0099598E" w:rsidP="0099598E">
      <w:pPr>
        <w:pStyle w:val="Heading1"/>
      </w:pPr>
      <w:bookmarkStart w:id="178" w:name="_Toc150334804"/>
      <w:bookmarkStart w:id="179" w:name="_Toc157429602"/>
      <w:r>
        <w:lastRenderedPageBreak/>
        <w:t>References Cited</w:t>
      </w:r>
      <w:bookmarkEnd w:id="178"/>
      <w:bookmarkEnd w:id="179"/>
    </w:p>
    <w:p w14:paraId="01866934" w14:textId="77777777" w:rsidR="00145E25" w:rsidRDefault="00145E25" w:rsidP="00145E25">
      <w:pPr>
        <w:pStyle w:val="IntroGuidanceHeading1"/>
      </w:pPr>
      <w:r>
        <w:t>GUIDANCE</w:t>
      </w:r>
    </w:p>
    <w:p w14:paraId="6BD470C6" w14:textId="790F7B53" w:rsidR="006D0DC9" w:rsidRPr="006D0DC9" w:rsidRDefault="006D0DC9" w:rsidP="006D0DC9">
      <w:pPr>
        <w:rPr>
          <w:color w:val="0000FF" w:themeColor="accent1"/>
        </w:rPr>
      </w:pPr>
      <w:r w:rsidRPr="006D0DC9">
        <w:rPr>
          <w:color w:val="0000FF" w:themeColor="accent1"/>
        </w:rPr>
        <w:t>The standard in-text citation system for the EAR is Name-Year [e.g., Smith 1999, Smith and Jones 1899]</w:t>
      </w:r>
      <w:r w:rsidR="00D41864" w:rsidRPr="006D0DC9">
        <w:rPr>
          <w:color w:val="0000FF" w:themeColor="accent1"/>
        </w:rPr>
        <w:t xml:space="preserve">.  </w:t>
      </w:r>
      <w:r w:rsidRPr="006D0DC9">
        <w:rPr>
          <w:color w:val="0000FF" w:themeColor="accent1"/>
        </w:rPr>
        <w:t xml:space="preserve">Provide full references for all in-text citations using the </w:t>
      </w:r>
      <w:r w:rsidR="003B3AB5">
        <w:rPr>
          <w:color w:val="0000FF" w:themeColor="accent1"/>
        </w:rPr>
        <w:t>following</w:t>
      </w:r>
      <w:r w:rsidR="003B3AB5" w:rsidRPr="006D0DC9">
        <w:rPr>
          <w:color w:val="0000FF" w:themeColor="accent1"/>
        </w:rPr>
        <w:t xml:space="preserve"> </w:t>
      </w:r>
      <w:r w:rsidRPr="006D0DC9">
        <w:rPr>
          <w:color w:val="0000FF" w:themeColor="accent1"/>
        </w:rPr>
        <w:t>formats</w:t>
      </w:r>
      <w:r w:rsidR="00D41864" w:rsidRPr="006D0DC9">
        <w:rPr>
          <w:color w:val="0000FF" w:themeColor="accent1"/>
        </w:rPr>
        <w:t xml:space="preserve">.  </w:t>
      </w:r>
      <w:r w:rsidRPr="006D0DC9">
        <w:rPr>
          <w:color w:val="0000FF" w:themeColor="accent1"/>
        </w:rPr>
        <w:t>Preparers should have copies of cited references available for reviewers at the reviewer’s request and are responsible for the applicability of the references to the study.</w:t>
      </w:r>
    </w:p>
    <w:p w14:paraId="4FF7480D" w14:textId="138DC658" w:rsidR="006D0DC9" w:rsidRPr="006D0DC9" w:rsidRDefault="006D0DC9" w:rsidP="006D0DC9">
      <w:pPr>
        <w:pStyle w:val="ListParagraph"/>
        <w:numPr>
          <w:ilvl w:val="0"/>
          <w:numId w:val="25"/>
        </w:numPr>
        <w:rPr>
          <w:color w:val="0000FF" w:themeColor="accent1"/>
        </w:rPr>
      </w:pPr>
      <w:r w:rsidRPr="006D0DC9">
        <w:rPr>
          <w:b/>
          <w:bCs/>
          <w:color w:val="0000FF" w:themeColor="accent1"/>
        </w:rPr>
        <w:t>Books, Journal Articles, Reports</w:t>
      </w:r>
      <w:r w:rsidRPr="006D0DC9">
        <w:rPr>
          <w:color w:val="0000FF" w:themeColor="accent1"/>
        </w:rPr>
        <w:t>: [Author(s)</w:t>
      </w:r>
      <w:r w:rsidR="00D41864" w:rsidRPr="006D0DC9">
        <w:rPr>
          <w:color w:val="0000FF" w:themeColor="accent1"/>
        </w:rPr>
        <w:t xml:space="preserve">.  </w:t>
      </w:r>
      <w:r w:rsidRPr="006D0DC9">
        <w:rPr>
          <w:color w:val="0000FF" w:themeColor="accent1"/>
        </w:rPr>
        <w:t>Year.  Title.  Publisher/Source.  Month].</w:t>
      </w:r>
    </w:p>
    <w:p w14:paraId="5C93F8C2" w14:textId="363F86E7" w:rsidR="006D0DC9" w:rsidRPr="006D0DC9" w:rsidRDefault="006D0DC9" w:rsidP="006D0DC9">
      <w:pPr>
        <w:pStyle w:val="ListParagraph"/>
        <w:numPr>
          <w:ilvl w:val="0"/>
          <w:numId w:val="25"/>
        </w:numPr>
        <w:rPr>
          <w:color w:val="0000FF" w:themeColor="accent1"/>
        </w:rPr>
      </w:pPr>
      <w:r w:rsidRPr="006D0DC9">
        <w:rPr>
          <w:b/>
          <w:bCs/>
          <w:color w:val="0000FF" w:themeColor="accent1"/>
        </w:rPr>
        <w:t>Websites</w:t>
      </w:r>
      <w:r w:rsidRPr="006D0DC9">
        <w:rPr>
          <w:color w:val="0000FF" w:themeColor="accent1"/>
        </w:rPr>
        <w:t>: [Publisher</w:t>
      </w:r>
      <w:r w:rsidR="00D41864" w:rsidRPr="006D0DC9">
        <w:rPr>
          <w:color w:val="0000FF" w:themeColor="accent1"/>
        </w:rPr>
        <w:t xml:space="preserve">.  </w:t>
      </w:r>
      <w:r w:rsidRPr="006D0DC9">
        <w:rPr>
          <w:color w:val="0000FF" w:themeColor="accent1"/>
        </w:rPr>
        <w:t>Year</w:t>
      </w:r>
      <w:r w:rsidR="00D41864" w:rsidRPr="006D0DC9">
        <w:rPr>
          <w:color w:val="0000FF" w:themeColor="accent1"/>
        </w:rPr>
        <w:t xml:space="preserve">.  </w:t>
      </w:r>
      <w:r w:rsidRPr="006D0DC9">
        <w:rPr>
          <w:color w:val="0000FF" w:themeColor="accent1"/>
        </w:rPr>
        <w:t>Title</w:t>
      </w:r>
      <w:r w:rsidR="00D41864" w:rsidRPr="006D0DC9">
        <w:rPr>
          <w:color w:val="0000FF" w:themeColor="accent1"/>
        </w:rPr>
        <w:t xml:space="preserve">.  </w:t>
      </w:r>
      <w:r w:rsidRPr="006D0DC9">
        <w:rPr>
          <w:color w:val="0000FF" w:themeColor="accent1"/>
        </w:rPr>
        <w:t xml:space="preserve">Website </w:t>
      </w:r>
      <w:proofErr w:type="spellStart"/>
      <w:r w:rsidRPr="006D0DC9">
        <w:rPr>
          <w:color w:val="0000FF" w:themeColor="accent1"/>
        </w:rPr>
        <w:t>url</w:t>
      </w:r>
      <w:proofErr w:type="spellEnd"/>
      <w:r w:rsidR="00D41864" w:rsidRPr="006D0DC9">
        <w:rPr>
          <w:color w:val="0000FF" w:themeColor="accent1"/>
        </w:rPr>
        <w:t xml:space="preserve">.  </w:t>
      </w:r>
      <w:r w:rsidRPr="006D0DC9">
        <w:rPr>
          <w:color w:val="0000FF" w:themeColor="accent1"/>
        </w:rPr>
        <w:t>Date accessed.]</w:t>
      </w:r>
    </w:p>
    <w:p w14:paraId="33BB02BE" w14:textId="77777777" w:rsidR="006D0DC9" w:rsidRPr="006D0DC9" w:rsidRDefault="006D0DC9" w:rsidP="006D0DC9">
      <w:pPr>
        <w:pStyle w:val="ListParagraph"/>
        <w:numPr>
          <w:ilvl w:val="0"/>
          <w:numId w:val="25"/>
        </w:numPr>
        <w:rPr>
          <w:color w:val="0000FF" w:themeColor="accent1"/>
        </w:rPr>
      </w:pPr>
      <w:r w:rsidRPr="006D0DC9">
        <w:rPr>
          <w:b/>
          <w:bCs/>
          <w:color w:val="0000FF" w:themeColor="accent1"/>
        </w:rPr>
        <w:t>Correspondence</w:t>
      </w:r>
      <w:r w:rsidRPr="006D0DC9">
        <w:rPr>
          <w:color w:val="0000FF" w:themeColor="accent1"/>
        </w:rPr>
        <w:t>: [Author(s).  Date.  Subject.  Agency/Company.  Pp. (pages)].</w:t>
      </w:r>
    </w:p>
    <w:p w14:paraId="28650BD1" w14:textId="77777777" w:rsidR="006D0DC9" w:rsidRPr="006D0DC9" w:rsidRDefault="006D0DC9" w:rsidP="006D0DC9">
      <w:pPr>
        <w:pStyle w:val="ListParagraph"/>
        <w:numPr>
          <w:ilvl w:val="0"/>
          <w:numId w:val="25"/>
        </w:numPr>
        <w:rPr>
          <w:color w:val="0000FF" w:themeColor="accent1"/>
        </w:rPr>
      </w:pPr>
      <w:r w:rsidRPr="006D0DC9">
        <w:rPr>
          <w:b/>
          <w:bCs/>
          <w:color w:val="0000FF" w:themeColor="accent1"/>
        </w:rPr>
        <w:t>Phone</w:t>
      </w:r>
      <w:r w:rsidRPr="006D0DC9">
        <w:rPr>
          <w:color w:val="0000FF" w:themeColor="accent1"/>
        </w:rPr>
        <w:t>: [Contact Name.  Date.  Subject.  Agency/Company.  Phone Number.  Result/Action].</w:t>
      </w:r>
    </w:p>
    <w:p w14:paraId="47830DC4" w14:textId="5CEC52D4" w:rsidR="006D0DC9" w:rsidRPr="006D0DC9" w:rsidRDefault="006D0DC9" w:rsidP="006D0DC9">
      <w:pPr>
        <w:pStyle w:val="ListParagraph"/>
        <w:numPr>
          <w:ilvl w:val="0"/>
          <w:numId w:val="25"/>
        </w:numPr>
        <w:rPr>
          <w:color w:val="0000FF" w:themeColor="accent1"/>
        </w:rPr>
      </w:pPr>
      <w:r w:rsidRPr="006D0DC9">
        <w:rPr>
          <w:b/>
          <w:bCs/>
          <w:color w:val="0000FF" w:themeColor="accent1"/>
        </w:rPr>
        <w:t>E-mail</w:t>
      </w:r>
      <w:r w:rsidRPr="006D0DC9">
        <w:rPr>
          <w:color w:val="0000FF" w:themeColor="accent1"/>
        </w:rPr>
        <w:t>: [Contact Name.  Date.  Subject.  Agency/Company.  E-mail address.  Result/Action].</w:t>
      </w:r>
    </w:p>
    <w:p w14:paraId="1C7EA7B7" w14:textId="457C2695" w:rsidR="00145E25" w:rsidRPr="00F81D87" w:rsidRDefault="00762BB4" w:rsidP="006D0DC9">
      <w:pPr>
        <w:rPr>
          <w:color w:val="0000FF" w:themeColor="accent1"/>
        </w:rPr>
      </w:pPr>
      <w:r>
        <w:rPr>
          <w:color w:val="0000FF" w:themeColor="accent1"/>
        </w:rPr>
        <w:t>The following r</w:t>
      </w:r>
      <w:r w:rsidR="006D0DC9" w:rsidRPr="006D0DC9">
        <w:rPr>
          <w:color w:val="0000FF" w:themeColor="accent1"/>
        </w:rPr>
        <w:t>eference</w:t>
      </w:r>
      <w:r w:rsidR="00E0533E">
        <w:rPr>
          <w:color w:val="0000FF" w:themeColor="accent1"/>
        </w:rPr>
        <w:t>s</w:t>
      </w:r>
      <w:r w:rsidR="006D0DC9" w:rsidRPr="006D0DC9">
        <w:rPr>
          <w:color w:val="0000FF" w:themeColor="accent1"/>
        </w:rPr>
        <w:t xml:space="preserve"> </w:t>
      </w:r>
      <w:r w:rsidR="00E0533E">
        <w:rPr>
          <w:color w:val="0000FF" w:themeColor="accent1"/>
        </w:rPr>
        <w:t xml:space="preserve">are </w:t>
      </w:r>
      <w:r>
        <w:rPr>
          <w:color w:val="0000FF" w:themeColor="accent1"/>
        </w:rPr>
        <w:t>made</w:t>
      </w:r>
      <w:r w:rsidR="006D0DC9" w:rsidRPr="006D0DC9">
        <w:rPr>
          <w:color w:val="0000FF" w:themeColor="accent1"/>
        </w:rPr>
        <w:t xml:space="preserve"> within boilerplate </w:t>
      </w:r>
      <w:r w:rsidR="00E1501F">
        <w:rPr>
          <w:color w:val="0000FF" w:themeColor="accent1"/>
        </w:rPr>
        <w:t>text</w:t>
      </w:r>
      <w:r w:rsidR="006D0DC9" w:rsidRPr="006D0DC9">
        <w:rPr>
          <w:color w:val="0000FF" w:themeColor="accent1"/>
        </w:rPr>
        <w:t xml:space="preserve"> and should be included in this section</w:t>
      </w:r>
      <w:r w:rsidR="00145E25" w:rsidRPr="00F81D87">
        <w:rPr>
          <w:color w:val="0000FF" w:themeColor="accent1"/>
        </w:rPr>
        <w:t xml:space="preserve">. </w:t>
      </w:r>
    </w:p>
    <w:p w14:paraId="5C8E3772" w14:textId="77777777" w:rsidR="00E0533E" w:rsidRPr="00E0533E" w:rsidRDefault="00E0533E" w:rsidP="00E0533E">
      <w:pPr>
        <w:ind w:left="360" w:hanging="360"/>
        <w:rPr>
          <w:color w:val="A50021" w:themeColor="accent2"/>
        </w:rPr>
      </w:pPr>
      <w:r w:rsidRPr="00E0533E">
        <w:rPr>
          <w:color w:val="A50021" w:themeColor="accent2"/>
        </w:rPr>
        <w:t xml:space="preserve">California Department of Transportation.  2021. CT-EMFAC User Guide. </w:t>
      </w:r>
    </w:p>
    <w:p w14:paraId="1363DF23" w14:textId="5F4EAFA8" w:rsidR="0099598E" w:rsidRPr="008B3944" w:rsidRDefault="008B3944" w:rsidP="008B3944">
      <w:pPr>
        <w:ind w:left="360" w:hanging="360"/>
        <w:rPr>
          <w:color w:val="A50021" w:themeColor="accent2"/>
        </w:rPr>
      </w:pPr>
      <w:r w:rsidRPr="008B3944">
        <w:rPr>
          <w:color w:val="A50021" w:themeColor="accent2"/>
        </w:rPr>
        <w:t>United States Energy Information Administration</w:t>
      </w:r>
      <w:r w:rsidR="00D41864" w:rsidRPr="008B3944">
        <w:rPr>
          <w:color w:val="A50021" w:themeColor="accent2"/>
        </w:rPr>
        <w:t xml:space="preserve">.  </w:t>
      </w:r>
      <w:r w:rsidRPr="008B3944">
        <w:rPr>
          <w:color w:val="A50021" w:themeColor="accent2"/>
        </w:rPr>
        <w:t>2023</w:t>
      </w:r>
      <w:r w:rsidR="0019019B">
        <w:rPr>
          <w:color w:val="A50021" w:themeColor="accent2"/>
        </w:rPr>
        <w:t>c</w:t>
      </w:r>
      <w:r w:rsidRPr="008B3944">
        <w:rPr>
          <w:color w:val="A50021" w:themeColor="accent2"/>
        </w:rPr>
        <w:t xml:space="preserve">. </w:t>
      </w:r>
      <w:r w:rsidR="00762BB4">
        <w:rPr>
          <w:color w:val="A50021" w:themeColor="accent2"/>
        </w:rPr>
        <w:t xml:space="preserve"> </w:t>
      </w:r>
      <w:r w:rsidRPr="008B3944">
        <w:rPr>
          <w:color w:val="A50021" w:themeColor="accent2"/>
        </w:rPr>
        <w:t>Units and calculators explained</w:t>
      </w:r>
      <w:r w:rsidR="00D41864" w:rsidRPr="008B3944">
        <w:rPr>
          <w:color w:val="A50021" w:themeColor="accent2"/>
        </w:rPr>
        <w:t xml:space="preserve">.  </w:t>
      </w:r>
      <w:r w:rsidRPr="008B3944">
        <w:rPr>
          <w:color w:val="A50021" w:themeColor="accent2"/>
        </w:rPr>
        <w:t xml:space="preserve">Available:  </w:t>
      </w:r>
      <w:hyperlink r:id="rId38" w:history="1">
        <w:r w:rsidRPr="008B3944">
          <w:rPr>
            <w:rStyle w:val="Hyperlink"/>
            <w:color w:val="A50021" w:themeColor="accent2"/>
          </w:rPr>
          <w:t>https://www.eia.gov/energyexplained/units-and-calculators/british-thermal-units.php</w:t>
        </w:r>
      </w:hyperlink>
      <w:r w:rsidRPr="008B3944">
        <w:rPr>
          <w:color w:val="A50021" w:themeColor="accent2"/>
        </w:rPr>
        <w:t>.  Accessed: October 20, 2023</w:t>
      </w:r>
      <w:r w:rsidR="00D41864" w:rsidRPr="008B3944">
        <w:rPr>
          <w:color w:val="A50021" w:themeColor="accent2"/>
        </w:rPr>
        <w:t>.</w:t>
      </w:r>
      <w:r w:rsidR="00D41864">
        <w:rPr>
          <w:color w:val="A50021" w:themeColor="accent2"/>
        </w:rPr>
        <w:t xml:space="preserve">  </w:t>
      </w:r>
      <w:r w:rsidR="004B429C" w:rsidRPr="00752C53">
        <w:rPr>
          <w:b/>
          <w:bCs/>
          <w:color w:val="0000FF" w:themeColor="accent1"/>
        </w:rPr>
        <w:t xml:space="preserve">[End </w:t>
      </w:r>
      <w:r w:rsidR="004B429C">
        <w:rPr>
          <w:b/>
          <w:bCs/>
          <w:color w:val="0000FF" w:themeColor="accent1"/>
        </w:rPr>
        <w:t>boilerplate</w:t>
      </w:r>
      <w:r w:rsidR="004B429C" w:rsidRPr="00752C53">
        <w:rPr>
          <w:b/>
          <w:bCs/>
          <w:color w:val="0000FF" w:themeColor="accent1"/>
        </w:rPr>
        <w:t>]</w:t>
      </w:r>
    </w:p>
    <w:p w14:paraId="095C07B7" w14:textId="68B5B777" w:rsidR="00647948" w:rsidRPr="00647948" w:rsidRDefault="00647948" w:rsidP="00647948">
      <w:pPr>
        <w:pStyle w:val="Bibliography"/>
        <w:rPr>
          <w:color w:val="0000FF" w:themeColor="accent1"/>
        </w:rPr>
      </w:pPr>
      <w:r w:rsidRPr="00647948">
        <w:rPr>
          <w:color w:val="0000FF" w:themeColor="accent1"/>
        </w:rPr>
        <w:t xml:space="preserve">References for citations made within </w:t>
      </w:r>
      <w:r w:rsidR="00762BB4">
        <w:rPr>
          <w:color w:val="0000FF" w:themeColor="accent1"/>
        </w:rPr>
        <w:t>example</w:t>
      </w:r>
      <w:r w:rsidR="00762BB4" w:rsidRPr="00647948">
        <w:rPr>
          <w:color w:val="0000FF" w:themeColor="accent1"/>
        </w:rPr>
        <w:t xml:space="preserve"> </w:t>
      </w:r>
      <w:r w:rsidRPr="00647948">
        <w:rPr>
          <w:color w:val="0000FF" w:themeColor="accent1"/>
        </w:rPr>
        <w:t xml:space="preserve">text are provided below for reference. </w:t>
      </w:r>
    </w:p>
    <w:p w14:paraId="22F896F9" w14:textId="6D7796CE" w:rsidR="00762BB4" w:rsidRPr="00762BB4" w:rsidRDefault="00762BB4" w:rsidP="00762BB4">
      <w:pPr>
        <w:pStyle w:val="Bibliography"/>
        <w:ind w:left="360" w:hanging="360"/>
        <w:rPr>
          <w:color w:val="800080" w:themeColor="accent3"/>
        </w:rPr>
      </w:pPr>
      <w:r w:rsidRPr="00762BB4">
        <w:rPr>
          <w:color w:val="800080" w:themeColor="accent3"/>
        </w:rPr>
        <w:t>California Air Resources</w:t>
      </w:r>
      <w:r w:rsidR="00325EF8">
        <w:rPr>
          <w:color w:val="800080" w:themeColor="accent3"/>
        </w:rPr>
        <w:t xml:space="preserve"> Board</w:t>
      </w:r>
      <w:r w:rsidRPr="00762BB4">
        <w:rPr>
          <w:color w:val="800080" w:themeColor="accent3"/>
        </w:rPr>
        <w:t xml:space="preserve">.  2023. EMFAC Fleet Database.  Available: </w:t>
      </w:r>
      <w:hyperlink r:id="rId39" w:history="1">
        <w:r w:rsidRPr="00762BB4">
          <w:rPr>
            <w:rStyle w:val="Hyperlink"/>
            <w:color w:val="800080" w:themeColor="accent3"/>
          </w:rPr>
          <w:t>https://arb.ca.gov/emfac/fleet-db/0006d24af026694f250099172e60d02a8fbb2a8f</w:t>
        </w:r>
      </w:hyperlink>
      <w:r w:rsidRPr="00762BB4">
        <w:rPr>
          <w:color w:val="800080" w:themeColor="accent3"/>
        </w:rPr>
        <w:t>. Accessed: October 20, 2023.</w:t>
      </w:r>
    </w:p>
    <w:p w14:paraId="712C693B" w14:textId="77777777" w:rsidR="003B3AB5" w:rsidRPr="00762BB4" w:rsidRDefault="003B3AB5" w:rsidP="003B3AB5">
      <w:pPr>
        <w:pStyle w:val="Bibliography"/>
        <w:ind w:left="360" w:hanging="360"/>
        <w:rPr>
          <w:color w:val="800080" w:themeColor="accent3"/>
        </w:rPr>
      </w:pPr>
      <w:r w:rsidRPr="00762BB4">
        <w:rPr>
          <w:color w:val="800080" w:themeColor="accent3"/>
        </w:rPr>
        <w:t xml:space="preserve">California Department of Transportation.  2021. CT-EMFAC User Guide. </w:t>
      </w:r>
    </w:p>
    <w:p w14:paraId="20F45881" w14:textId="77777777" w:rsidR="00762BB4" w:rsidRPr="00762BB4" w:rsidRDefault="00762BB4" w:rsidP="00762BB4">
      <w:pPr>
        <w:ind w:left="360" w:hanging="360"/>
        <w:rPr>
          <w:color w:val="800080" w:themeColor="accent3"/>
        </w:rPr>
      </w:pPr>
      <w:r w:rsidRPr="00762BB4">
        <w:rPr>
          <w:color w:val="800080" w:themeColor="accent3"/>
        </w:rPr>
        <w:t>California Energy Commission 2022.   Final 2021 Integrated Energy Policy Report Volume IV California Energy Demand Forecast.  21-IEPR-01.  February.</w:t>
      </w:r>
    </w:p>
    <w:p w14:paraId="58F41073" w14:textId="60847752" w:rsidR="00762BB4" w:rsidRPr="00762BB4" w:rsidRDefault="00762BB4" w:rsidP="00762BB4">
      <w:pPr>
        <w:ind w:left="360" w:hanging="360"/>
        <w:rPr>
          <w:color w:val="800080" w:themeColor="accent3"/>
        </w:rPr>
      </w:pPr>
      <w:r w:rsidRPr="00762BB4">
        <w:rPr>
          <w:color w:val="800080" w:themeColor="accent3"/>
        </w:rPr>
        <w:t xml:space="preserve">California Energy Commission.  2023a.  Electric Generation Capacity and Energy.  Available: </w:t>
      </w:r>
      <w:hyperlink r:id="rId40" w:history="1">
        <w:r w:rsidRPr="00762BB4">
          <w:rPr>
            <w:rStyle w:val="Hyperlink"/>
            <w:color w:val="800080" w:themeColor="accent3"/>
          </w:rPr>
          <w:t>https://www.energy.ca.gov/data-reports/energy-almanac/california-electricity-data/electric-generation-capacity-and-energy</w:t>
        </w:r>
      </w:hyperlink>
      <w:r w:rsidRPr="00762BB4">
        <w:rPr>
          <w:color w:val="800080" w:themeColor="accent3"/>
        </w:rPr>
        <w:t>.  Accessed: October 20, 2023.</w:t>
      </w:r>
    </w:p>
    <w:p w14:paraId="2627DF79" w14:textId="1E4C3E9A" w:rsidR="00762BB4" w:rsidRPr="00762BB4" w:rsidRDefault="00762BB4" w:rsidP="00762BB4">
      <w:pPr>
        <w:ind w:left="360" w:hanging="360"/>
        <w:rPr>
          <w:color w:val="800080" w:themeColor="accent3"/>
        </w:rPr>
      </w:pPr>
      <w:r w:rsidRPr="00762BB4">
        <w:rPr>
          <w:color w:val="800080" w:themeColor="accent3"/>
        </w:rPr>
        <w:lastRenderedPageBreak/>
        <w:t xml:space="preserve">California Energy Commission.  2023b.  Light-Duty Vehicle Population in California.  Available: </w:t>
      </w:r>
      <w:hyperlink r:id="rId41" w:history="1">
        <w:r w:rsidRPr="00762BB4">
          <w:rPr>
            <w:rStyle w:val="Hyperlink"/>
            <w:color w:val="800080" w:themeColor="accent3"/>
          </w:rPr>
          <w:t>https://www.energy.ca.gov/data-reports/energy-almanac/zero-emission-vehicle-and-infrastructure-statistics/light-duty-vehicle</w:t>
        </w:r>
      </w:hyperlink>
      <w:r w:rsidRPr="00762BB4">
        <w:rPr>
          <w:color w:val="800080" w:themeColor="accent3"/>
        </w:rPr>
        <w:t>.  Accessed: October 20, 2023.</w:t>
      </w:r>
    </w:p>
    <w:p w14:paraId="62B4FAAC" w14:textId="74119B80" w:rsidR="00762BB4" w:rsidRPr="00762BB4" w:rsidRDefault="00762BB4" w:rsidP="00762BB4">
      <w:pPr>
        <w:ind w:left="360" w:hanging="360"/>
        <w:rPr>
          <w:color w:val="800080" w:themeColor="accent3"/>
        </w:rPr>
      </w:pPr>
      <w:r w:rsidRPr="00762BB4">
        <w:rPr>
          <w:color w:val="800080" w:themeColor="accent3"/>
        </w:rPr>
        <w:t xml:space="preserve">California Energy Commission.  2023c.  Medium- and Heavy-Duty Zero-Emission Vehicles in California.  Available: </w:t>
      </w:r>
      <w:hyperlink r:id="rId42" w:history="1">
        <w:r w:rsidRPr="00762BB4">
          <w:rPr>
            <w:rStyle w:val="Hyperlink"/>
            <w:color w:val="800080" w:themeColor="accent3"/>
          </w:rPr>
          <w:t>https://www.energy.ca.gov/data-reports/energy-almanac/zero-emission-vehicle-and-infrastructure-statistics/medium-and-heavy</w:t>
        </w:r>
      </w:hyperlink>
      <w:r w:rsidRPr="00762BB4">
        <w:rPr>
          <w:color w:val="800080" w:themeColor="accent3"/>
        </w:rPr>
        <w:t>. Accessed: November 20, 2023.</w:t>
      </w:r>
    </w:p>
    <w:p w14:paraId="540190E5" w14:textId="6E0A62C6" w:rsidR="00762BB4" w:rsidRPr="00762BB4" w:rsidRDefault="00762BB4" w:rsidP="00762BB4">
      <w:pPr>
        <w:ind w:left="360" w:hanging="360"/>
        <w:rPr>
          <w:color w:val="800080" w:themeColor="accent3"/>
        </w:rPr>
      </w:pPr>
      <w:r w:rsidRPr="00762BB4">
        <w:rPr>
          <w:color w:val="800080" w:themeColor="accent3"/>
        </w:rPr>
        <w:t xml:space="preserve">California Energy Commission.  2023d.  New ZEV Sales in California.  Available: </w:t>
      </w:r>
      <w:hyperlink r:id="rId43" w:history="1">
        <w:r w:rsidRPr="00762BB4">
          <w:rPr>
            <w:rStyle w:val="Hyperlink"/>
            <w:color w:val="800080" w:themeColor="accent3"/>
          </w:rPr>
          <w:t>https://www.energy.ca.gov/data-reports/energy-almanac/zero-emission-vehicle-and-infrastructure-statistics/new-zev-sales</w:t>
        </w:r>
      </w:hyperlink>
      <w:r w:rsidRPr="00762BB4">
        <w:rPr>
          <w:color w:val="800080" w:themeColor="accent3"/>
        </w:rPr>
        <w:t>.  Accessed: October 20, 2023.</w:t>
      </w:r>
    </w:p>
    <w:p w14:paraId="5B20770F" w14:textId="1F7C350D" w:rsidR="00762BB4" w:rsidRPr="00762BB4" w:rsidRDefault="00762BB4" w:rsidP="00762BB4">
      <w:pPr>
        <w:ind w:left="360" w:hanging="360"/>
        <w:rPr>
          <w:color w:val="800080" w:themeColor="accent3"/>
        </w:rPr>
      </w:pPr>
      <w:r w:rsidRPr="00762BB4">
        <w:rPr>
          <w:color w:val="800080" w:themeColor="accent3"/>
        </w:rPr>
        <w:t xml:space="preserve">California Energy Commission.  2023e.  Electricity Consumption by County.  Available: </w:t>
      </w:r>
      <w:hyperlink r:id="rId44" w:history="1">
        <w:r w:rsidRPr="00762BB4">
          <w:rPr>
            <w:rStyle w:val="Hyperlink"/>
            <w:color w:val="800080" w:themeColor="accent3"/>
          </w:rPr>
          <w:t>https://ecdms.energy.ca.gov/elecbycounty.aspx</w:t>
        </w:r>
      </w:hyperlink>
      <w:r w:rsidRPr="00762BB4">
        <w:rPr>
          <w:color w:val="800080" w:themeColor="accent3"/>
        </w:rPr>
        <w:t>.  Accessed: October 20, 2023.</w:t>
      </w:r>
    </w:p>
    <w:p w14:paraId="07845A70" w14:textId="7B0BF595" w:rsidR="00762BB4" w:rsidRPr="00762BB4" w:rsidRDefault="00762BB4" w:rsidP="00762BB4">
      <w:pPr>
        <w:ind w:left="360" w:hanging="360"/>
        <w:rPr>
          <w:color w:val="800080" w:themeColor="accent3"/>
        </w:rPr>
      </w:pPr>
      <w:r w:rsidRPr="00762BB4">
        <w:rPr>
          <w:color w:val="800080" w:themeColor="accent3"/>
        </w:rPr>
        <w:t xml:space="preserve">California Energy Commission.  2023f.  2010-2022 CEC-A15 Results and Analysis ADA.xlsx.  Available: </w:t>
      </w:r>
      <w:hyperlink r:id="rId45" w:history="1">
        <w:r w:rsidRPr="00762BB4">
          <w:rPr>
            <w:rStyle w:val="Hyperlink"/>
            <w:color w:val="800080" w:themeColor="accent3"/>
          </w:rPr>
          <w:t>https://www.energy.ca.gov/media/3874</w:t>
        </w:r>
      </w:hyperlink>
      <w:r w:rsidRPr="00762BB4">
        <w:rPr>
          <w:color w:val="800080" w:themeColor="accent3"/>
        </w:rPr>
        <w:t>.  Accessed: October 20, 2023.</w:t>
      </w:r>
    </w:p>
    <w:p w14:paraId="7B8E21F2" w14:textId="14D9485F" w:rsidR="00762BB4" w:rsidRPr="00762BB4" w:rsidRDefault="00762BB4" w:rsidP="00762BB4">
      <w:pPr>
        <w:ind w:left="360" w:hanging="360"/>
        <w:rPr>
          <w:color w:val="800080" w:themeColor="accent3"/>
        </w:rPr>
      </w:pPr>
      <w:r w:rsidRPr="00762BB4">
        <w:rPr>
          <w:color w:val="800080" w:themeColor="accent3"/>
        </w:rPr>
        <w:t xml:space="preserve">California Energy Commission.  2023g.  Electric Vehicle Chargers in California.  Available: </w:t>
      </w:r>
      <w:hyperlink r:id="rId46" w:history="1">
        <w:r w:rsidRPr="00762BB4">
          <w:rPr>
            <w:rStyle w:val="Hyperlink"/>
            <w:color w:val="800080" w:themeColor="accent3"/>
          </w:rPr>
          <w:t>https://www.energy.ca.gov/data-reports/energy-almanac/zero-emission-vehicle-and-infrastructure-statistics/electric-vehicle</w:t>
        </w:r>
      </w:hyperlink>
      <w:r w:rsidRPr="00762BB4">
        <w:rPr>
          <w:color w:val="800080" w:themeColor="accent3"/>
        </w:rPr>
        <w:t>.  Accessed: October 20, 2023.</w:t>
      </w:r>
    </w:p>
    <w:p w14:paraId="16B94803" w14:textId="6EBA2612" w:rsidR="00762BB4" w:rsidRPr="00762BB4" w:rsidRDefault="00762BB4" w:rsidP="00762BB4">
      <w:pPr>
        <w:ind w:left="360" w:hanging="360"/>
        <w:rPr>
          <w:color w:val="800080" w:themeColor="accent3"/>
        </w:rPr>
      </w:pPr>
      <w:r w:rsidRPr="00762BB4">
        <w:rPr>
          <w:color w:val="800080" w:themeColor="accent3"/>
        </w:rPr>
        <w:t xml:space="preserve">California Energy Commission.  2023h.  Hydrogen Refueling Stations in California.  Available:  </w:t>
      </w:r>
      <w:hyperlink r:id="rId47" w:history="1">
        <w:r w:rsidRPr="00762BB4">
          <w:rPr>
            <w:rStyle w:val="Hyperlink"/>
            <w:color w:val="800080" w:themeColor="accent3"/>
          </w:rPr>
          <w:t>https://www.energy.ca.gov/data-reports/energy-almanac/zero-emission-vehicle-and-infrastructure-statistics/hydrogen-refueling</w:t>
        </w:r>
      </w:hyperlink>
      <w:r w:rsidRPr="00762BB4">
        <w:rPr>
          <w:color w:val="800080" w:themeColor="accent3"/>
        </w:rPr>
        <w:t>.  Accessed: October 20, 2023.</w:t>
      </w:r>
    </w:p>
    <w:p w14:paraId="3CC8844D" w14:textId="7AAC38A1" w:rsidR="00762BB4" w:rsidRPr="00762BB4" w:rsidRDefault="00762BB4" w:rsidP="00762BB4">
      <w:pPr>
        <w:pStyle w:val="Bibliography"/>
        <w:ind w:left="360" w:hanging="360"/>
        <w:rPr>
          <w:color w:val="800080" w:themeColor="accent3"/>
        </w:rPr>
      </w:pPr>
      <w:r w:rsidRPr="00762BB4">
        <w:rPr>
          <w:color w:val="800080" w:themeColor="accent3"/>
        </w:rPr>
        <w:t>Riverside County.  2015.  Riverside County General Plan.  Multipurpose Open Space Element.  December.</w:t>
      </w:r>
    </w:p>
    <w:p w14:paraId="738845AD" w14:textId="273F83A9" w:rsidR="00762BB4" w:rsidRPr="00762BB4" w:rsidRDefault="00762BB4" w:rsidP="00762BB4">
      <w:pPr>
        <w:pStyle w:val="Bibliography"/>
        <w:ind w:left="360" w:hanging="360"/>
        <w:rPr>
          <w:color w:val="800080" w:themeColor="accent3"/>
        </w:rPr>
      </w:pPr>
      <w:r w:rsidRPr="00762BB4">
        <w:rPr>
          <w:color w:val="800080" w:themeColor="accent3"/>
        </w:rPr>
        <w:t>Riverside County.  2018.  Riverside County General Plan.  Air Quality Element.  July.</w:t>
      </w:r>
    </w:p>
    <w:p w14:paraId="4DE5F788" w14:textId="1DD319CB" w:rsidR="00762BB4" w:rsidRPr="00762BB4" w:rsidRDefault="00762BB4" w:rsidP="00762BB4">
      <w:pPr>
        <w:pStyle w:val="Bibliography"/>
        <w:ind w:left="360" w:hanging="360"/>
        <w:rPr>
          <w:color w:val="800080" w:themeColor="accent3"/>
        </w:rPr>
      </w:pPr>
      <w:r w:rsidRPr="00762BB4">
        <w:rPr>
          <w:color w:val="800080" w:themeColor="accent3"/>
        </w:rPr>
        <w:t xml:space="preserve">Riverside County.  2019.  Climate Action Plan Update.  November. </w:t>
      </w:r>
    </w:p>
    <w:p w14:paraId="0A55F5A6" w14:textId="3132DD9D" w:rsidR="00762BB4" w:rsidRPr="00762BB4" w:rsidRDefault="00762BB4" w:rsidP="00762BB4">
      <w:pPr>
        <w:pStyle w:val="Bibliography"/>
        <w:ind w:left="360" w:hanging="360"/>
        <w:rPr>
          <w:color w:val="800080" w:themeColor="accent3"/>
        </w:rPr>
      </w:pPr>
      <w:r w:rsidRPr="00762BB4">
        <w:rPr>
          <w:color w:val="800080" w:themeColor="accent3"/>
        </w:rPr>
        <w:t xml:space="preserve">Southern California Association of Governments.  2020.  Connect SoCal.  September. </w:t>
      </w:r>
    </w:p>
    <w:p w14:paraId="1EBDA198" w14:textId="44A70B3C" w:rsidR="00762BB4" w:rsidRPr="00762BB4" w:rsidRDefault="00762BB4" w:rsidP="00762BB4">
      <w:pPr>
        <w:pStyle w:val="Bibliography"/>
        <w:ind w:left="360" w:hanging="360"/>
        <w:rPr>
          <w:color w:val="800080" w:themeColor="accent3"/>
        </w:rPr>
      </w:pPr>
      <w:r w:rsidRPr="00762BB4">
        <w:rPr>
          <w:color w:val="800080" w:themeColor="accent3"/>
        </w:rPr>
        <w:t xml:space="preserve">Southern California Edison.  2021.  2021 Power Content Label.  Available: </w:t>
      </w:r>
      <w:hyperlink r:id="rId48" w:history="1">
        <w:r w:rsidRPr="00762BB4">
          <w:rPr>
            <w:rStyle w:val="Hyperlink"/>
            <w:color w:val="800080" w:themeColor="accent3"/>
          </w:rPr>
          <w:t>https://www.sce.com/sites/default/files/custom-files/Web%20files/2021%20Power%20Content%20Label.pdf</w:t>
        </w:r>
      </w:hyperlink>
      <w:r w:rsidRPr="00762BB4">
        <w:rPr>
          <w:color w:val="800080" w:themeColor="accent3"/>
        </w:rPr>
        <w:t>. Accessed: October 20, 2023.</w:t>
      </w:r>
    </w:p>
    <w:p w14:paraId="5C8ED2F6" w14:textId="68B1C709" w:rsidR="00762BB4" w:rsidRPr="00762BB4" w:rsidRDefault="00762BB4" w:rsidP="00762BB4">
      <w:pPr>
        <w:pStyle w:val="Bibliography"/>
        <w:ind w:left="360" w:hanging="360"/>
        <w:rPr>
          <w:color w:val="800080" w:themeColor="accent3"/>
        </w:rPr>
      </w:pPr>
      <w:r w:rsidRPr="00762BB4">
        <w:rPr>
          <w:color w:val="800080" w:themeColor="accent3"/>
        </w:rPr>
        <w:t xml:space="preserve">The Climate Group.  2023.  LED.  Available: </w:t>
      </w:r>
      <w:hyperlink r:id="rId49" w:history="1">
        <w:r w:rsidRPr="00762BB4">
          <w:rPr>
            <w:rStyle w:val="Hyperlink"/>
            <w:color w:val="800080" w:themeColor="accent3"/>
          </w:rPr>
          <w:t>https://www.theclimategroup.org/led</w:t>
        </w:r>
      </w:hyperlink>
      <w:r w:rsidRPr="00762BB4">
        <w:rPr>
          <w:color w:val="800080" w:themeColor="accent3"/>
        </w:rPr>
        <w:t>.  Accessed: October 20, 2023.</w:t>
      </w:r>
    </w:p>
    <w:p w14:paraId="7EC8781C" w14:textId="46E0EB1C" w:rsidR="00762BB4" w:rsidRPr="00762BB4" w:rsidRDefault="00762BB4" w:rsidP="00762BB4">
      <w:pPr>
        <w:pStyle w:val="Bibliography"/>
        <w:ind w:left="360" w:hanging="360"/>
        <w:rPr>
          <w:color w:val="800080" w:themeColor="accent3"/>
        </w:rPr>
      </w:pPr>
      <w:r w:rsidRPr="00762BB4">
        <w:rPr>
          <w:color w:val="800080" w:themeColor="accent3"/>
        </w:rPr>
        <w:t xml:space="preserve">Traffic Consultants.  2023.  Final Traffic Operations Analysis Report.  I-400/Roadway </w:t>
      </w:r>
      <w:proofErr w:type="gramStart"/>
      <w:r w:rsidRPr="00762BB4">
        <w:rPr>
          <w:color w:val="800080" w:themeColor="accent3"/>
        </w:rPr>
        <w:t>A</w:t>
      </w:r>
      <w:proofErr w:type="gramEnd"/>
      <w:r w:rsidRPr="00762BB4">
        <w:rPr>
          <w:color w:val="800080" w:themeColor="accent3"/>
        </w:rPr>
        <w:t xml:space="preserve"> Interchange Improvement Project</w:t>
      </w:r>
      <w:r w:rsidR="00F94684" w:rsidRPr="00762BB4">
        <w:rPr>
          <w:color w:val="800080" w:themeColor="accent3"/>
        </w:rPr>
        <w:t xml:space="preserve">.  </w:t>
      </w:r>
      <w:r w:rsidRPr="00762BB4">
        <w:rPr>
          <w:color w:val="800080" w:themeColor="accent3"/>
        </w:rPr>
        <w:t xml:space="preserve">March. </w:t>
      </w:r>
    </w:p>
    <w:p w14:paraId="4B9B92FD" w14:textId="38CADF80" w:rsidR="00762BB4" w:rsidRPr="00762BB4" w:rsidRDefault="00762BB4" w:rsidP="00762BB4">
      <w:pPr>
        <w:pStyle w:val="Bibliography"/>
        <w:ind w:left="360" w:hanging="360"/>
        <w:rPr>
          <w:color w:val="800080" w:themeColor="accent3"/>
        </w:rPr>
      </w:pPr>
      <w:r w:rsidRPr="00762BB4">
        <w:rPr>
          <w:color w:val="800080" w:themeColor="accent3"/>
        </w:rPr>
        <w:lastRenderedPageBreak/>
        <w:t>United States Department of Energy.  2004.  California Says “Go” to Energy-Saving Traffic Lights.  DOE/GO-102004-1916.  May.</w:t>
      </w:r>
    </w:p>
    <w:p w14:paraId="5D0C61BF" w14:textId="6A4F8B90" w:rsidR="00762BB4" w:rsidRPr="00762BB4" w:rsidRDefault="00762BB4" w:rsidP="00762BB4">
      <w:pPr>
        <w:ind w:left="360" w:hanging="360"/>
        <w:rPr>
          <w:color w:val="800080" w:themeColor="accent3"/>
        </w:rPr>
      </w:pPr>
      <w:r w:rsidRPr="00762BB4">
        <w:rPr>
          <w:color w:val="800080" w:themeColor="accent3"/>
        </w:rPr>
        <w:t xml:space="preserve">United States Energy Information Administration.  2023a.  California.  Available:  </w:t>
      </w:r>
      <w:hyperlink r:id="rId50" w:anchor="tabs-2" w:history="1">
        <w:r w:rsidRPr="00762BB4">
          <w:rPr>
            <w:rStyle w:val="Hyperlink"/>
            <w:color w:val="800080" w:themeColor="accent3"/>
          </w:rPr>
          <w:t>https://www.eia.gov/state/?sid=CA#tabs-2</w:t>
        </w:r>
      </w:hyperlink>
      <w:r w:rsidRPr="00762BB4">
        <w:rPr>
          <w:color w:val="800080" w:themeColor="accent3"/>
        </w:rPr>
        <w:t>.  Accessed: October 20, 2023.</w:t>
      </w:r>
    </w:p>
    <w:p w14:paraId="3F0EC13E" w14:textId="430DF915" w:rsidR="00762BB4" w:rsidRPr="00762BB4" w:rsidRDefault="00762BB4" w:rsidP="00762BB4">
      <w:pPr>
        <w:ind w:left="360" w:hanging="360"/>
        <w:rPr>
          <w:color w:val="800080" w:themeColor="accent3"/>
        </w:rPr>
      </w:pPr>
      <w:r w:rsidRPr="00762BB4">
        <w:rPr>
          <w:color w:val="800080" w:themeColor="accent3"/>
        </w:rPr>
        <w:t xml:space="preserve">United States Energy Information Administration.  2023b.  Almost all U.S. renewable diesel is consumed in California; most isn’t made there.  Available:  </w:t>
      </w:r>
      <w:hyperlink r:id="rId51" w:history="1">
        <w:r w:rsidRPr="009D25E5">
          <w:rPr>
            <w:rStyle w:val="Hyperlink"/>
            <w:color w:val="800080" w:themeColor="accent3"/>
          </w:rPr>
          <w:t>https://www.eia.gov/todayinenergy/detail.php?id=57180</w:t>
        </w:r>
      </w:hyperlink>
      <w:r w:rsidRPr="00762BB4">
        <w:rPr>
          <w:color w:val="800080" w:themeColor="accent3"/>
        </w:rPr>
        <w:t>.  Accessed: November 20, 2023.</w:t>
      </w:r>
    </w:p>
    <w:p w14:paraId="1027115A" w14:textId="76537E44" w:rsidR="00762BB4" w:rsidRPr="00762BB4" w:rsidRDefault="00762BB4" w:rsidP="007C71E0">
      <w:pPr>
        <w:pStyle w:val="Bibliography"/>
        <w:ind w:left="360" w:hanging="360"/>
        <w:rPr>
          <w:color w:val="800080" w:themeColor="accent3"/>
        </w:rPr>
      </w:pPr>
      <w:r w:rsidRPr="00762BB4">
        <w:rPr>
          <w:color w:val="800080" w:themeColor="accent3"/>
        </w:rPr>
        <w:t xml:space="preserve">United States Energy Information Administration.  2023c.  Units and calculators explained.  Available:  </w:t>
      </w:r>
      <w:hyperlink r:id="rId52" w:history="1">
        <w:r w:rsidRPr="00762BB4">
          <w:rPr>
            <w:rStyle w:val="Hyperlink"/>
            <w:color w:val="800080" w:themeColor="accent3"/>
          </w:rPr>
          <w:t>https://www.eia.gov/energyexplained/units-and-calculators/british-thermal-units.php</w:t>
        </w:r>
      </w:hyperlink>
      <w:r w:rsidRPr="00762BB4">
        <w:rPr>
          <w:color w:val="800080" w:themeColor="accent3"/>
        </w:rPr>
        <w:t xml:space="preserve">.  Accessed: October 20, 2023.  </w:t>
      </w:r>
    </w:p>
    <w:p w14:paraId="78E7BB62" w14:textId="41D12938" w:rsidR="007C71E0" w:rsidRPr="007C71E0" w:rsidRDefault="007C71E0" w:rsidP="007C71E0">
      <w:pPr>
        <w:pStyle w:val="Bibliography"/>
        <w:ind w:left="360" w:hanging="360"/>
        <w:rPr>
          <w:color w:val="800080" w:themeColor="accent3"/>
        </w:rPr>
      </w:pPr>
      <w:r w:rsidRPr="00762BB4">
        <w:rPr>
          <w:color w:val="800080" w:themeColor="accent3"/>
        </w:rPr>
        <w:t>United States Environmental Protection Agency</w:t>
      </w:r>
      <w:r w:rsidR="00D41864" w:rsidRPr="00762BB4">
        <w:rPr>
          <w:color w:val="800080" w:themeColor="accent3"/>
        </w:rPr>
        <w:t xml:space="preserve">.  </w:t>
      </w:r>
      <w:r w:rsidRPr="00762BB4">
        <w:rPr>
          <w:color w:val="800080" w:themeColor="accent3"/>
        </w:rPr>
        <w:t xml:space="preserve">2023. </w:t>
      </w:r>
      <w:r w:rsidR="00762BB4" w:rsidRPr="00762BB4">
        <w:rPr>
          <w:color w:val="800080" w:themeColor="accent3"/>
        </w:rPr>
        <w:t xml:space="preserve"> </w:t>
      </w:r>
      <w:r w:rsidRPr="00762BB4">
        <w:rPr>
          <w:color w:val="800080" w:themeColor="accent3"/>
        </w:rPr>
        <w:t>Carbon Dioxide Emissions Coefficients</w:t>
      </w:r>
      <w:r w:rsidR="00D41864" w:rsidRPr="00762BB4">
        <w:rPr>
          <w:color w:val="800080" w:themeColor="accent3"/>
        </w:rPr>
        <w:t xml:space="preserve">.  </w:t>
      </w:r>
      <w:r w:rsidRPr="00762BB4">
        <w:rPr>
          <w:color w:val="800080" w:themeColor="accent3"/>
        </w:rPr>
        <w:t xml:space="preserve">Available: </w:t>
      </w:r>
      <w:hyperlink r:id="rId53" w:history="1">
        <w:r w:rsidRPr="00762BB4">
          <w:rPr>
            <w:rStyle w:val="Hyperlink"/>
            <w:color w:val="800080" w:themeColor="accent3"/>
          </w:rPr>
          <w:t>https://www.eia.gov/environment/emissions/co2_vol_mass.php</w:t>
        </w:r>
      </w:hyperlink>
      <w:r w:rsidR="00D41864" w:rsidRPr="00762BB4">
        <w:rPr>
          <w:color w:val="800080" w:themeColor="accent3"/>
        </w:rPr>
        <w:t xml:space="preserve">.  </w:t>
      </w:r>
      <w:r w:rsidRPr="00762BB4">
        <w:rPr>
          <w:color w:val="800080" w:themeColor="accent3"/>
        </w:rPr>
        <w:t>Accessed: October 20, 2023</w:t>
      </w:r>
      <w:r w:rsidR="00D41864" w:rsidRPr="00762BB4">
        <w:rPr>
          <w:color w:val="800080" w:themeColor="accent3"/>
        </w:rPr>
        <w:t xml:space="preserve">.  </w:t>
      </w:r>
      <w:r w:rsidR="004B429C" w:rsidRPr="00752C53">
        <w:rPr>
          <w:b/>
          <w:bCs/>
          <w:color w:val="0000FF" w:themeColor="accent1"/>
        </w:rPr>
        <w:t xml:space="preserve">[End </w:t>
      </w:r>
      <w:r w:rsidR="004B429C" w:rsidRPr="00207B23">
        <w:rPr>
          <w:b/>
          <w:bCs/>
          <w:color w:val="0000FF" w:themeColor="accent1"/>
        </w:rPr>
        <w:t>example</w:t>
      </w:r>
      <w:r w:rsidR="004B429C" w:rsidRPr="00752C53">
        <w:rPr>
          <w:b/>
          <w:bCs/>
          <w:color w:val="0000FF" w:themeColor="accent1"/>
        </w:rPr>
        <w:t>]</w:t>
      </w:r>
    </w:p>
    <w:p w14:paraId="4C778931" w14:textId="750F5489" w:rsidR="0099598E" w:rsidRPr="00612793" w:rsidRDefault="0099598E" w:rsidP="0099598E">
      <w:pPr>
        <w:pStyle w:val="Bibliography"/>
      </w:pPr>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F876B" w14:textId="77777777" w:rsidR="002F694D" w:rsidRDefault="002F694D" w:rsidP="0099598E">
      <w:pPr>
        <w:pStyle w:val="Heading1"/>
        <w:sectPr w:rsidR="002F694D" w:rsidSect="00203664">
          <w:pgSz w:w="12240" w:h="15840"/>
          <w:pgMar w:top="1440" w:right="1440" w:bottom="1440" w:left="1440" w:header="720" w:footer="720" w:gutter="0"/>
          <w:cols w:space="720"/>
          <w:docGrid w:linePitch="360"/>
        </w:sectPr>
      </w:pPr>
    </w:p>
    <w:bookmarkStart w:id="180" w:name="_Hlk151123830"/>
    <w:p w14:paraId="2480D7E1" w14:textId="687BB7E9" w:rsidR="0099598E" w:rsidRPr="005A03D1" w:rsidRDefault="005A03D1" w:rsidP="00D91D5F">
      <w:pPr>
        <w:pStyle w:val="AppendixHeading"/>
      </w:pPr>
      <w:r>
        <w:lastRenderedPageBreak/>
        <w:fldChar w:fldCharType="begin">
          <w:ffData>
            <w:name w:val="Text65"/>
            <w:enabled/>
            <w:calcOnExit w:val="0"/>
            <w:textInput>
              <w:default w:val="Enter title"/>
            </w:textInput>
          </w:ffData>
        </w:fldChar>
      </w:r>
      <w:bookmarkStart w:id="181" w:name="Text65"/>
      <w:r>
        <w:instrText xml:space="preserve"> FORMTEXT </w:instrText>
      </w:r>
      <w:r>
        <w:fldChar w:fldCharType="separate"/>
      </w:r>
      <w:bookmarkStart w:id="182" w:name="_Toc153796228"/>
      <w:bookmarkStart w:id="183" w:name="_Toc151462178"/>
      <w:bookmarkStart w:id="184" w:name="_Toc151380152"/>
      <w:bookmarkStart w:id="185" w:name="_Toc153883625"/>
      <w:bookmarkStart w:id="186" w:name="_Toc157429603"/>
      <w:r>
        <w:rPr>
          <w:noProof/>
        </w:rPr>
        <w:t>Enter title</w:t>
      </w:r>
      <w:bookmarkEnd w:id="182"/>
      <w:bookmarkEnd w:id="183"/>
      <w:bookmarkEnd w:id="184"/>
      <w:bookmarkEnd w:id="185"/>
      <w:bookmarkEnd w:id="186"/>
      <w:r>
        <w:fldChar w:fldCharType="end"/>
      </w:r>
      <w:bookmarkEnd w:id="181"/>
    </w:p>
    <w:bookmarkEnd w:id="180"/>
    <w:p w14:paraId="274B4F65" w14:textId="77777777" w:rsidR="00647741" w:rsidRDefault="00647741" w:rsidP="00647741">
      <w:pPr>
        <w:pStyle w:val="IntroGuidanceHeading1"/>
      </w:pPr>
      <w:r>
        <w:t>GUIDANCE</w:t>
      </w:r>
    </w:p>
    <w:p w14:paraId="0F31AE7C" w14:textId="23AFBD7E" w:rsidR="00647741" w:rsidRDefault="00F40A9F" w:rsidP="00647741">
      <w:pPr>
        <w:rPr>
          <w:color w:val="0000FF" w:themeColor="accent1"/>
        </w:rPr>
      </w:pPr>
      <w:r w:rsidRPr="00F40A9F">
        <w:rPr>
          <w:color w:val="0000FF" w:themeColor="accent1"/>
        </w:rPr>
        <w:t>Appendices are to be in order of the first occurrence in the text</w:t>
      </w:r>
      <w:r w:rsidR="00D41864" w:rsidRPr="00F40A9F">
        <w:rPr>
          <w:color w:val="0000FF" w:themeColor="accent1"/>
        </w:rPr>
        <w:t xml:space="preserve">.  </w:t>
      </w:r>
      <w:r w:rsidRPr="00F40A9F">
        <w:rPr>
          <w:color w:val="0000FF" w:themeColor="accent1"/>
        </w:rPr>
        <w:t>Information to present in appendices may include traffic data, model outputs, and other relevant technical detail referenced in the text</w:t>
      </w:r>
      <w:r w:rsidR="00D41864" w:rsidRPr="00F81D87">
        <w:rPr>
          <w:color w:val="0000FF" w:themeColor="accent1"/>
        </w:rPr>
        <w:t xml:space="preserve">.  </w:t>
      </w:r>
      <w:r w:rsidR="00F92D08">
        <w:rPr>
          <w:color w:val="0000FF" w:themeColor="accent1"/>
        </w:rPr>
        <w:t>Delete this entire page if the appendix is not needed.</w:t>
      </w:r>
    </w:p>
    <w:p w14:paraId="3DFAA30F" w14:textId="77777777" w:rsidR="00CC25D0" w:rsidRDefault="00CC25D0" w:rsidP="00CC25D0">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F9C271" w14:textId="77777777" w:rsidR="00F92D08" w:rsidRDefault="00F92D08" w:rsidP="00CC25D0">
      <w:pPr>
        <w:sectPr w:rsidR="00F92D08" w:rsidSect="00203664">
          <w:pgSz w:w="12240" w:h="15840"/>
          <w:pgMar w:top="1440" w:right="1440" w:bottom="1440" w:left="1440" w:header="720" w:footer="720" w:gutter="0"/>
          <w:cols w:space="720"/>
          <w:docGrid w:linePitch="360"/>
        </w:sectPr>
      </w:pPr>
    </w:p>
    <w:p w14:paraId="50A54CC8" w14:textId="38772891" w:rsidR="00F92D08" w:rsidRPr="005A03D1" w:rsidRDefault="005A03D1" w:rsidP="00F92D08">
      <w:pPr>
        <w:pStyle w:val="AppendixHeading"/>
      </w:pPr>
      <w:r w:rsidRPr="005A03D1">
        <w:lastRenderedPageBreak/>
        <w:fldChar w:fldCharType="begin">
          <w:ffData>
            <w:name w:val="Text66"/>
            <w:enabled/>
            <w:calcOnExit w:val="0"/>
            <w:textInput>
              <w:default w:val="Enter title"/>
            </w:textInput>
          </w:ffData>
        </w:fldChar>
      </w:r>
      <w:bookmarkStart w:id="187" w:name="Text66"/>
      <w:r w:rsidRPr="005A03D1">
        <w:instrText xml:space="preserve"> FORMTEXT </w:instrText>
      </w:r>
      <w:r w:rsidRPr="005A03D1">
        <w:fldChar w:fldCharType="separate"/>
      </w:r>
      <w:bookmarkStart w:id="188" w:name="_Toc153796229"/>
      <w:bookmarkStart w:id="189" w:name="_Toc151462179"/>
      <w:bookmarkStart w:id="190" w:name="_Toc151380153"/>
      <w:bookmarkStart w:id="191" w:name="_Toc153883626"/>
      <w:bookmarkStart w:id="192" w:name="_Toc157429604"/>
      <w:r w:rsidRPr="005A03D1">
        <w:rPr>
          <w:noProof/>
        </w:rPr>
        <w:t>Enter title</w:t>
      </w:r>
      <w:bookmarkEnd w:id="188"/>
      <w:bookmarkEnd w:id="189"/>
      <w:bookmarkEnd w:id="190"/>
      <w:bookmarkEnd w:id="191"/>
      <w:bookmarkEnd w:id="192"/>
      <w:r w:rsidRPr="005A03D1">
        <w:fldChar w:fldCharType="end"/>
      </w:r>
      <w:bookmarkEnd w:id="187"/>
    </w:p>
    <w:p w14:paraId="707F656D" w14:textId="77777777" w:rsidR="00F92D08" w:rsidRDefault="00F92D08" w:rsidP="00F92D08">
      <w:pPr>
        <w:pStyle w:val="IntroGuidanceHeading1"/>
      </w:pPr>
      <w:r>
        <w:t>GUIDANCE</w:t>
      </w:r>
    </w:p>
    <w:p w14:paraId="6262FF75" w14:textId="2932355A" w:rsidR="00F92D08" w:rsidRDefault="00F92D08" w:rsidP="00F92D08">
      <w:pPr>
        <w:rPr>
          <w:color w:val="0000FF" w:themeColor="accent1"/>
        </w:rPr>
      </w:pPr>
      <w:r w:rsidRPr="00F40A9F">
        <w:rPr>
          <w:color w:val="0000FF" w:themeColor="accent1"/>
        </w:rPr>
        <w:t>Appendices are to be in order of the first occurrence in the text</w:t>
      </w:r>
      <w:r w:rsidR="00D41864" w:rsidRPr="00F40A9F">
        <w:rPr>
          <w:color w:val="0000FF" w:themeColor="accent1"/>
        </w:rPr>
        <w:t xml:space="preserve">.  </w:t>
      </w:r>
      <w:r w:rsidRPr="00F40A9F">
        <w:rPr>
          <w:color w:val="0000FF" w:themeColor="accent1"/>
        </w:rPr>
        <w:t>Information to present in appendices may include traffic data, model outputs, and other relevant technical detail referenced in the text</w:t>
      </w:r>
      <w:r w:rsidR="00D41864" w:rsidRPr="00F81D87">
        <w:rPr>
          <w:color w:val="0000FF" w:themeColor="accent1"/>
        </w:rPr>
        <w:t xml:space="preserve">.  </w:t>
      </w:r>
      <w:r>
        <w:rPr>
          <w:color w:val="0000FF" w:themeColor="accent1"/>
        </w:rPr>
        <w:t>Delete</w:t>
      </w:r>
      <w:r w:rsidRPr="00F92D08">
        <w:rPr>
          <w:color w:val="0000FF" w:themeColor="accent1"/>
        </w:rPr>
        <w:t xml:space="preserve"> </w:t>
      </w:r>
      <w:r>
        <w:rPr>
          <w:color w:val="0000FF" w:themeColor="accent1"/>
        </w:rPr>
        <w:t>this entire page if the appendix is not needed.</w:t>
      </w:r>
    </w:p>
    <w:p w14:paraId="0AEF04E6" w14:textId="77777777" w:rsidR="00F92D08" w:rsidRPr="00612793" w:rsidRDefault="00F92D08" w:rsidP="00F92D08">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12B7077" w14:textId="77777777" w:rsidR="00F92D08" w:rsidRDefault="00F92D08" w:rsidP="00CC25D0">
      <w:pPr>
        <w:sectPr w:rsidR="00F92D08" w:rsidSect="00203664">
          <w:pgSz w:w="12240" w:h="15840"/>
          <w:pgMar w:top="1440" w:right="1440" w:bottom="1440" w:left="1440" w:header="720" w:footer="720" w:gutter="0"/>
          <w:cols w:space="720"/>
          <w:docGrid w:linePitch="360"/>
        </w:sectPr>
      </w:pPr>
    </w:p>
    <w:p w14:paraId="2A867515" w14:textId="5AFDB088" w:rsidR="00F92D08" w:rsidRPr="005A03D1" w:rsidRDefault="005A03D1" w:rsidP="00F92D08">
      <w:pPr>
        <w:pStyle w:val="AppendixHeading"/>
      </w:pPr>
      <w:r w:rsidRPr="005A03D1">
        <w:lastRenderedPageBreak/>
        <w:fldChar w:fldCharType="begin">
          <w:ffData>
            <w:name w:val="Text67"/>
            <w:enabled/>
            <w:calcOnExit w:val="0"/>
            <w:textInput>
              <w:default w:val="Enter title"/>
            </w:textInput>
          </w:ffData>
        </w:fldChar>
      </w:r>
      <w:bookmarkStart w:id="193" w:name="Text67"/>
      <w:r w:rsidRPr="005A03D1">
        <w:instrText xml:space="preserve"> FORMTEXT </w:instrText>
      </w:r>
      <w:r w:rsidRPr="005A03D1">
        <w:fldChar w:fldCharType="separate"/>
      </w:r>
      <w:bookmarkStart w:id="194" w:name="_Toc153796230"/>
      <w:bookmarkStart w:id="195" w:name="_Toc151462180"/>
      <w:bookmarkStart w:id="196" w:name="_Toc151380154"/>
      <w:bookmarkStart w:id="197" w:name="_Toc153883627"/>
      <w:bookmarkStart w:id="198" w:name="_Toc157429605"/>
      <w:r w:rsidRPr="005A03D1">
        <w:rPr>
          <w:noProof/>
        </w:rPr>
        <w:t>Enter title</w:t>
      </w:r>
      <w:bookmarkEnd w:id="194"/>
      <w:bookmarkEnd w:id="195"/>
      <w:bookmarkEnd w:id="196"/>
      <w:bookmarkEnd w:id="197"/>
      <w:bookmarkEnd w:id="198"/>
      <w:r w:rsidRPr="005A03D1">
        <w:fldChar w:fldCharType="end"/>
      </w:r>
      <w:bookmarkEnd w:id="193"/>
    </w:p>
    <w:p w14:paraId="0346693F" w14:textId="77777777" w:rsidR="00F92D08" w:rsidRDefault="00F92D08" w:rsidP="00F92D08">
      <w:pPr>
        <w:pStyle w:val="IntroGuidanceHeading1"/>
      </w:pPr>
      <w:r>
        <w:t>GUIDANCE</w:t>
      </w:r>
    </w:p>
    <w:p w14:paraId="3F40355B" w14:textId="1016A43E" w:rsidR="00F92D08" w:rsidRDefault="00F92D08" w:rsidP="00F92D08">
      <w:pPr>
        <w:rPr>
          <w:color w:val="0000FF" w:themeColor="accent1"/>
        </w:rPr>
      </w:pPr>
      <w:r w:rsidRPr="00F40A9F">
        <w:rPr>
          <w:color w:val="0000FF" w:themeColor="accent1"/>
        </w:rPr>
        <w:t>Appendices are to be in order of the first occurrence in the text</w:t>
      </w:r>
      <w:r w:rsidR="00D41864" w:rsidRPr="00F40A9F">
        <w:rPr>
          <w:color w:val="0000FF" w:themeColor="accent1"/>
        </w:rPr>
        <w:t xml:space="preserve">.  </w:t>
      </w:r>
      <w:r w:rsidRPr="00F40A9F">
        <w:rPr>
          <w:color w:val="0000FF" w:themeColor="accent1"/>
        </w:rPr>
        <w:t>Information to present in appendices may include traffic data, model outputs, and other relevant technical detail referenced in the text</w:t>
      </w:r>
      <w:r w:rsidR="00D41864" w:rsidRPr="00F81D87">
        <w:rPr>
          <w:color w:val="0000FF" w:themeColor="accent1"/>
        </w:rPr>
        <w:t xml:space="preserve">.  </w:t>
      </w:r>
      <w:r>
        <w:rPr>
          <w:color w:val="0000FF" w:themeColor="accent1"/>
        </w:rPr>
        <w:t>Delete this entire page if the appendix is not needed.</w:t>
      </w:r>
    </w:p>
    <w:p w14:paraId="1D4BC8FE" w14:textId="77777777" w:rsidR="00F92D08" w:rsidRPr="00612793" w:rsidRDefault="00F92D08" w:rsidP="00F92D08">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C107C2" w14:textId="77777777" w:rsidR="00F92D08" w:rsidRDefault="00F92D08" w:rsidP="00CC25D0">
      <w:pPr>
        <w:sectPr w:rsidR="00F92D08" w:rsidSect="00203664">
          <w:pgSz w:w="12240" w:h="15840"/>
          <w:pgMar w:top="1440" w:right="1440" w:bottom="1440" w:left="1440" w:header="720" w:footer="720" w:gutter="0"/>
          <w:cols w:space="720"/>
          <w:docGrid w:linePitch="360"/>
        </w:sectPr>
      </w:pPr>
    </w:p>
    <w:p w14:paraId="1E5363FD" w14:textId="1ACEC176" w:rsidR="00F92D08" w:rsidRPr="005A03D1" w:rsidRDefault="005A03D1" w:rsidP="00F92D08">
      <w:pPr>
        <w:pStyle w:val="AppendixHeading"/>
      </w:pPr>
      <w:r>
        <w:lastRenderedPageBreak/>
        <w:fldChar w:fldCharType="begin">
          <w:ffData>
            <w:name w:val="Text68"/>
            <w:enabled/>
            <w:calcOnExit w:val="0"/>
            <w:textInput>
              <w:default w:val="Enter title"/>
            </w:textInput>
          </w:ffData>
        </w:fldChar>
      </w:r>
      <w:bookmarkStart w:id="199" w:name="Text68"/>
      <w:r>
        <w:instrText xml:space="preserve"> FORMTEXT </w:instrText>
      </w:r>
      <w:r>
        <w:fldChar w:fldCharType="separate"/>
      </w:r>
      <w:bookmarkStart w:id="200" w:name="_Toc153796231"/>
      <w:bookmarkStart w:id="201" w:name="_Toc151462181"/>
      <w:bookmarkStart w:id="202" w:name="_Toc151380155"/>
      <w:bookmarkStart w:id="203" w:name="_Toc153883628"/>
      <w:bookmarkStart w:id="204" w:name="_Toc157429606"/>
      <w:r>
        <w:rPr>
          <w:noProof/>
        </w:rPr>
        <w:t>Enter title</w:t>
      </w:r>
      <w:bookmarkEnd w:id="200"/>
      <w:bookmarkEnd w:id="201"/>
      <w:bookmarkEnd w:id="202"/>
      <w:bookmarkEnd w:id="203"/>
      <w:bookmarkEnd w:id="204"/>
      <w:r>
        <w:fldChar w:fldCharType="end"/>
      </w:r>
      <w:bookmarkEnd w:id="199"/>
    </w:p>
    <w:p w14:paraId="002F9178" w14:textId="77777777" w:rsidR="00F92D08" w:rsidRDefault="00F92D08" w:rsidP="00F92D08">
      <w:pPr>
        <w:pStyle w:val="IntroGuidanceHeading1"/>
      </w:pPr>
      <w:r>
        <w:t>GUIDANCE</w:t>
      </w:r>
    </w:p>
    <w:p w14:paraId="3BEC50AE" w14:textId="79B17CCD" w:rsidR="00F92D08" w:rsidRDefault="00F92D08" w:rsidP="00F92D08">
      <w:pPr>
        <w:rPr>
          <w:color w:val="0000FF" w:themeColor="accent1"/>
        </w:rPr>
      </w:pPr>
      <w:r w:rsidRPr="00F40A9F">
        <w:rPr>
          <w:color w:val="0000FF" w:themeColor="accent1"/>
        </w:rPr>
        <w:t>Appendices are to be in order of the first occurrence in the text</w:t>
      </w:r>
      <w:r w:rsidR="00D41864" w:rsidRPr="00F40A9F">
        <w:rPr>
          <w:color w:val="0000FF" w:themeColor="accent1"/>
        </w:rPr>
        <w:t xml:space="preserve">.  </w:t>
      </w:r>
      <w:r w:rsidRPr="00F40A9F">
        <w:rPr>
          <w:color w:val="0000FF" w:themeColor="accent1"/>
        </w:rPr>
        <w:t>Information to present in appendices may include traffic data, model outputs, and other relevant technical detail referenced in the text</w:t>
      </w:r>
      <w:r w:rsidR="00D41864" w:rsidRPr="00F81D87">
        <w:rPr>
          <w:color w:val="0000FF" w:themeColor="accent1"/>
        </w:rPr>
        <w:t xml:space="preserve">.  </w:t>
      </w:r>
      <w:r>
        <w:rPr>
          <w:color w:val="0000FF" w:themeColor="accent1"/>
        </w:rPr>
        <w:t>Delete this entire page if the appendix is not needed.</w:t>
      </w:r>
    </w:p>
    <w:p w14:paraId="73E003DE" w14:textId="77777777" w:rsidR="00F92D08" w:rsidRPr="00612793" w:rsidRDefault="00F92D08" w:rsidP="00F92D08">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05D5E5D" w14:textId="77777777" w:rsidR="00F92D08" w:rsidRPr="00612793" w:rsidRDefault="00F92D08" w:rsidP="00CC25D0"/>
    <w:p w14:paraId="1A3352C2" w14:textId="77777777" w:rsidR="00CC25D0" w:rsidRPr="00F81D87" w:rsidRDefault="00CC25D0" w:rsidP="00647741">
      <w:pPr>
        <w:rPr>
          <w:color w:val="0000FF" w:themeColor="accent1"/>
        </w:rPr>
      </w:pPr>
    </w:p>
    <w:p w14:paraId="3CCF8F0C" w14:textId="4FF68054" w:rsidR="00F45A35" w:rsidRDefault="00F45A35" w:rsidP="0099598E">
      <w:pPr>
        <w:pStyle w:val="BodyText"/>
      </w:pPr>
    </w:p>
    <w:sectPr w:rsidR="00F45A35" w:rsidSect="00203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ECFD" w14:textId="77777777" w:rsidR="00203664" w:rsidRDefault="00203664" w:rsidP="00083E42">
      <w:pPr>
        <w:spacing w:after="0"/>
      </w:pPr>
      <w:r>
        <w:separator/>
      </w:r>
    </w:p>
  </w:endnote>
  <w:endnote w:type="continuationSeparator" w:id="0">
    <w:p w14:paraId="08C3062E" w14:textId="77777777" w:rsidR="00203664" w:rsidRDefault="00203664"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520661E4" w:rsidR="00094598" w:rsidRPr="004116CE" w:rsidRDefault="00094598" w:rsidP="0041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D4A" w14:textId="77777777" w:rsidR="004116CE" w:rsidRPr="00133B1D" w:rsidRDefault="004116CE"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20117959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0710" w14:textId="77777777" w:rsidR="00203664" w:rsidRDefault="00203664" w:rsidP="00083E42">
      <w:pPr>
        <w:spacing w:after="0"/>
      </w:pPr>
      <w:r>
        <w:separator/>
      </w:r>
    </w:p>
  </w:footnote>
  <w:footnote w:type="continuationSeparator" w:id="0">
    <w:p w14:paraId="0D200EE4" w14:textId="77777777" w:rsidR="00203664" w:rsidRDefault="00203664" w:rsidP="00083E42">
      <w:pPr>
        <w:spacing w:after="0"/>
      </w:pPr>
      <w:r>
        <w:continuationSeparator/>
      </w:r>
    </w:p>
  </w:footnote>
  <w:footnote w:id="1">
    <w:p w14:paraId="75DDADE1" w14:textId="5D810B36" w:rsidR="004C0E8D" w:rsidRDefault="004C0E8D" w:rsidP="004C0E8D">
      <w:pPr>
        <w:spacing w:after="0"/>
      </w:pPr>
      <w:r w:rsidRPr="00472599">
        <w:rPr>
          <w:rStyle w:val="FootnoteReference"/>
          <w:color w:val="800080" w:themeColor="accent3"/>
        </w:rPr>
        <w:footnoteRef/>
      </w:r>
      <w:r w:rsidRPr="00472599">
        <w:rPr>
          <w:color w:val="800080" w:themeColor="accent3"/>
        </w:rPr>
        <w:t xml:space="preserve"> </w:t>
      </w:r>
      <w:r w:rsidRPr="00472599">
        <w:rPr>
          <w:i/>
          <w:iCs/>
          <w:color w:val="800080" w:themeColor="accent3"/>
        </w:rPr>
        <w:t>Renewable resources</w:t>
      </w:r>
      <w:r w:rsidRPr="00472599">
        <w:rPr>
          <w:b/>
          <w:bCs/>
          <w:color w:val="800080" w:themeColor="accent3"/>
        </w:rPr>
        <w:t xml:space="preserve"> </w:t>
      </w:r>
      <w:r w:rsidRPr="00472599">
        <w:rPr>
          <w:color w:val="800080" w:themeColor="accent3"/>
        </w:rPr>
        <w:t>are sources that are naturally and quickly replenished, such as biomass, wind, solar, and geothermal</w:t>
      </w:r>
      <w:r w:rsidR="00846775" w:rsidRPr="00472599">
        <w:rPr>
          <w:color w:val="800080" w:themeColor="accent3"/>
        </w:rPr>
        <w:t xml:space="preserve">.  </w:t>
      </w:r>
      <w:r w:rsidRPr="00472599">
        <w:rPr>
          <w:color w:val="800080" w:themeColor="accent3"/>
        </w:rPr>
        <w:t xml:space="preserve">In contrast, </w:t>
      </w:r>
      <w:r w:rsidRPr="00472599">
        <w:rPr>
          <w:i/>
          <w:iCs/>
          <w:color w:val="800080" w:themeColor="accent3"/>
        </w:rPr>
        <w:t xml:space="preserve">non-renewable resources </w:t>
      </w:r>
      <w:r w:rsidRPr="00472599">
        <w:rPr>
          <w:color w:val="800080" w:themeColor="accent3"/>
        </w:rPr>
        <w:t>are sources that cannot be quickly replenished, such as coal, natural gas, and oil.</w:t>
      </w:r>
    </w:p>
  </w:footnote>
  <w:footnote w:id="2">
    <w:p w14:paraId="2D68F14D" w14:textId="77777777" w:rsidR="000575C6" w:rsidRDefault="000575C6" w:rsidP="000575C6">
      <w:pPr>
        <w:pStyle w:val="FootnoteText"/>
      </w:pPr>
      <w:r w:rsidRPr="00472599">
        <w:rPr>
          <w:rStyle w:val="FootnoteReference"/>
          <w:color w:val="800080" w:themeColor="accent3"/>
        </w:rPr>
        <w:footnoteRef/>
      </w:r>
      <w:r w:rsidRPr="00472599">
        <w:rPr>
          <w:color w:val="800080" w:themeColor="accent3"/>
        </w:rPr>
        <w:t xml:space="preserve"> Fuel consumption data are based on survey responses from retail fuel outlets that are required to report to CEC, with 2% to 5% of retail fuel outlets estimated to be unresponsive.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E09B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00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F89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E45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0F7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C9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9C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897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383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22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20BA2"/>
    <w:multiLevelType w:val="hybridMultilevel"/>
    <w:tmpl w:val="D58E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E2446"/>
    <w:multiLevelType w:val="hybridMultilevel"/>
    <w:tmpl w:val="6FC6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17D6E"/>
    <w:multiLevelType w:val="hybridMultilevel"/>
    <w:tmpl w:val="5E7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E2B12"/>
    <w:multiLevelType w:val="hybridMultilevel"/>
    <w:tmpl w:val="159A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8080B"/>
    <w:multiLevelType w:val="hybridMultilevel"/>
    <w:tmpl w:val="9FF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847A5C"/>
    <w:multiLevelType w:val="hybridMultilevel"/>
    <w:tmpl w:val="99C801C2"/>
    <w:lvl w:ilvl="0" w:tplc="EEF030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638BB"/>
    <w:multiLevelType w:val="hybridMultilevel"/>
    <w:tmpl w:val="289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3DBF"/>
    <w:multiLevelType w:val="hybridMultilevel"/>
    <w:tmpl w:val="2A70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873F6"/>
    <w:multiLevelType w:val="hybridMultilevel"/>
    <w:tmpl w:val="0D9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4106A"/>
    <w:multiLevelType w:val="hybridMultilevel"/>
    <w:tmpl w:val="CA6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874A3"/>
    <w:multiLevelType w:val="hybridMultilevel"/>
    <w:tmpl w:val="D5F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75951"/>
    <w:multiLevelType w:val="hybridMultilevel"/>
    <w:tmpl w:val="B6B25A58"/>
    <w:lvl w:ilvl="0" w:tplc="3E1AD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FD3BA3"/>
    <w:multiLevelType w:val="hybridMultilevel"/>
    <w:tmpl w:val="4E50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423EC"/>
    <w:multiLevelType w:val="hybridMultilevel"/>
    <w:tmpl w:val="02142328"/>
    <w:lvl w:ilvl="0" w:tplc="04090001">
      <w:start w:val="20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905E0"/>
    <w:multiLevelType w:val="hybridMultilevel"/>
    <w:tmpl w:val="17E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4BF6CD5"/>
    <w:multiLevelType w:val="hybridMultilevel"/>
    <w:tmpl w:val="0368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10077"/>
    <w:multiLevelType w:val="multilevel"/>
    <w:tmpl w:val="176AA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1312E"/>
    <w:multiLevelType w:val="hybridMultilevel"/>
    <w:tmpl w:val="D37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D744A"/>
    <w:multiLevelType w:val="hybridMultilevel"/>
    <w:tmpl w:val="172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8291E"/>
    <w:multiLevelType w:val="hybridMultilevel"/>
    <w:tmpl w:val="427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73927"/>
    <w:multiLevelType w:val="hybridMultilevel"/>
    <w:tmpl w:val="8D9E4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7574E"/>
    <w:multiLevelType w:val="hybridMultilevel"/>
    <w:tmpl w:val="4CD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9660C"/>
    <w:multiLevelType w:val="hybridMultilevel"/>
    <w:tmpl w:val="729A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F12D1"/>
    <w:multiLevelType w:val="multilevel"/>
    <w:tmpl w:val="42F4FC62"/>
    <w:numStyleLink w:val="Style1"/>
  </w:abstractNum>
  <w:num w:numId="1" w16cid:durableId="1527407209">
    <w:abstractNumId w:val="31"/>
  </w:num>
  <w:num w:numId="2" w16cid:durableId="1763985693">
    <w:abstractNumId w:val="40"/>
  </w:num>
  <w:num w:numId="3" w16cid:durableId="1849908103">
    <w:abstractNumId w:val="24"/>
  </w:num>
  <w:num w:numId="4" w16cid:durableId="202138519">
    <w:abstractNumId w:val="17"/>
  </w:num>
  <w:num w:numId="5" w16cid:durableId="801576427">
    <w:abstractNumId w:val="14"/>
  </w:num>
  <w:num w:numId="6" w16cid:durableId="1917931626">
    <w:abstractNumId w:val="18"/>
  </w:num>
  <w:num w:numId="7" w16cid:durableId="2016879987">
    <w:abstractNumId w:val="35"/>
  </w:num>
  <w:num w:numId="8" w16cid:durableId="1406536349">
    <w:abstractNumId w:val="25"/>
  </w:num>
  <w:num w:numId="9" w16cid:durableId="366150974">
    <w:abstractNumId w:val="10"/>
  </w:num>
  <w:num w:numId="10" w16cid:durableId="1397975755">
    <w:abstractNumId w:val="27"/>
  </w:num>
  <w:num w:numId="11" w16cid:durableId="1050809265">
    <w:abstractNumId w:val="20"/>
  </w:num>
  <w:num w:numId="12" w16cid:durableId="1861120039">
    <w:abstractNumId w:val="15"/>
  </w:num>
  <w:num w:numId="13" w16cid:durableId="101728639">
    <w:abstractNumId w:val="36"/>
  </w:num>
  <w:num w:numId="14" w16cid:durableId="1709334869">
    <w:abstractNumId w:val="30"/>
  </w:num>
  <w:num w:numId="15" w16cid:durableId="397092294">
    <w:abstractNumId w:val="28"/>
  </w:num>
  <w:num w:numId="16" w16cid:durableId="2073507091">
    <w:abstractNumId w:val="32"/>
  </w:num>
  <w:num w:numId="17" w16cid:durableId="509298455">
    <w:abstractNumId w:val="11"/>
  </w:num>
  <w:num w:numId="18" w16cid:durableId="2107995013">
    <w:abstractNumId w:val="16"/>
  </w:num>
  <w:num w:numId="19" w16cid:durableId="723794584">
    <w:abstractNumId w:val="33"/>
  </w:num>
  <w:num w:numId="20" w16cid:durableId="1764688479">
    <w:abstractNumId w:val="22"/>
  </w:num>
  <w:num w:numId="21" w16cid:durableId="717243770">
    <w:abstractNumId w:val="23"/>
  </w:num>
  <w:num w:numId="22" w16cid:durableId="722605536">
    <w:abstractNumId w:val="38"/>
  </w:num>
  <w:num w:numId="23" w16cid:durableId="2013098519">
    <w:abstractNumId w:val="19"/>
  </w:num>
  <w:num w:numId="24" w16cid:durableId="844324449">
    <w:abstractNumId w:val="39"/>
  </w:num>
  <w:num w:numId="25" w16cid:durableId="1750299355">
    <w:abstractNumId w:val="13"/>
  </w:num>
  <w:num w:numId="26" w16cid:durableId="1509635839">
    <w:abstractNumId w:val="26"/>
  </w:num>
  <w:num w:numId="27" w16cid:durableId="1206141135">
    <w:abstractNumId w:val="29"/>
  </w:num>
  <w:num w:numId="28" w16cid:durableId="2000956116">
    <w:abstractNumId w:val="37"/>
  </w:num>
  <w:num w:numId="29" w16cid:durableId="1817645299">
    <w:abstractNumId w:val="9"/>
  </w:num>
  <w:num w:numId="30" w16cid:durableId="1455757056">
    <w:abstractNumId w:val="7"/>
  </w:num>
  <w:num w:numId="31" w16cid:durableId="1556087680">
    <w:abstractNumId w:val="6"/>
  </w:num>
  <w:num w:numId="32" w16cid:durableId="1593270929">
    <w:abstractNumId w:val="5"/>
  </w:num>
  <w:num w:numId="33" w16cid:durableId="502748556">
    <w:abstractNumId w:val="4"/>
  </w:num>
  <w:num w:numId="34" w16cid:durableId="585924514">
    <w:abstractNumId w:val="8"/>
  </w:num>
  <w:num w:numId="35" w16cid:durableId="447511950">
    <w:abstractNumId w:val="3"/>
  </w:num>
  <w:num w:numId="36" w16cid:durableId="354769187">
    <w:abstractNumId w:val="2"/>
  </w:num>
  <w:num w:numId="37" w16cid:durableId="2047102752">
    <w:abstractNumId w:val="1"/>
  </w:num>
  <w:num w:numId="38" w16cid:durableId="711342002">
    <w:abstractNumId w:val="0"/>
  </w:num>
  <w:num w:numId="39" w16cid:durableId="506097971">
    <w:abstractNumId w:val="12"/>
  </w:num>
  <w:num w:numId="40" w16cid:durableId="368385571">
    <w:abstractNumId w:val="34"/>
  </w:num>
  <w:num w:numId="41" w16cid:durableId="34664221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0D36"/>
    <w:rsid w:val="00005014"/>
    <w:rsid w:val="0000516D"/>
    <w:rsid w:val="00005D20"/>
    <w:rsid w:val="00007774"/>
    <w:rsid w:val="00007B70"/>
    <w:rsid w:val="00007F98"/>
    <w:rsid w:val="00011995"/>
    <w:rsid w:val="00013CEF"/>
    <w:rsid w:val="000143CF"/>
    <w:rsid w:val="00014DE5"/>
    <w:rsid w:val="00015400"/>
    <w:rsid w:val="00015DE0"/>
    <w:rsid w:val="00015E2B"/>
    <w:rsid w:val="00016955"/>
    <w:rsid w:val="0001723C"/>
    <w:rsid w:val="00017EEE"/>
    <w:rsid w:val="00020F6C"/>
    <w:rsid w:val="00021134"/>
    <w:rsid w:val="00022864"/>
    <w:rsid w:val="00022904"/>
    <w:rsid w:val="000236F7"/>
    <w:rsid w:val="00023BFA"/>
    <w:rsid w:val="00025242"/>
    <w:rsid w:val="000256AF"/>
    <w:rsid w:val="0002663C"/>
    <w:rsid w:val="000274D4"/>
    <w:rsid w:val="00027D0C"/>
    <w:rsid w:val="00027D14"/>
    <w:rsid w:val="00030EAF"/>
    <w:rsid w:val="00032610"/>
    <w:rsid w:val="00033537"/>
    <w:rsid w:val="00035AD4"/>
    <w:rsid w:val="00036B45"/>
    <w:rsid w:val="000371DE"/>
    <w:rsid w:val="000374AC"/>
    <w:rsid w:val="0003780C"/>
    <w:rsid w:val="00040371"/>
    <w:rsid w:val="000409AC"/>
    <w:rsid w:val="000423FC"/>
    <w:rsid w:val="00042F23"/>
    <w:rsid w:val="000445FA"/>
    <w:rsid w:val="00044937"/>
    <w:rsid w:val="00045857"/>
    <w:rsid w:val="00045D3D"/>
    <w:rsid w:val="00051AB7"/>
    <w:rsid w:val="0005219C"/>
    <w:rsid w:val="00052E9D"/>
    <w:rsid w:val="00053668"/>
    <w:rsid w:val="00053C94"/>
    <w:rsid w:val="00054798"/>
    <w:rsid w:val="00054AFC"/>
    <w:rsid w:val="00055838"/>
    <w:rsid w:val="0005646B"/>
    <w:rsid w:val="00056D49"/>
    <w:rsid w:val="00056E43"/>
    <w:rsid w:val="0005715D"/>
    <w:rsid w:val="000575C6"/>
    <w:rsid w:val="00057C34"/>
    <w:rsid w:val="00057CA6"/>
    <w:rsid w:val="000602D8"/>
    <w:rsid w:val="00060665"/>
    <w:rsid w:val="00060D05"/>
    <w:rsid w:val="000620FF"/>
    <w:rsid w:val="00065F82"/>
    <w:rsid w:val="00066D05"/>
    <w:rsid w:val="000677F4"/>
    <w:rsid w:val="00067CA9"/>
    <w:rsid w:val="000702BD"/>
    <w:rsid w:val="00070E49"/>
    <w:rsid w:val="00072EA8"/>
    <w:rsid w:val="00077052"/>
    <w:rsid w:val="00077D43"/>
    <w:rsid w:val="00077F26"/>
    <w:rsid w:val="000801F2"/>
    <w:rsid w:val="000802DA"/>
    <w:rsid w:val="0008153B"/>
    <w:rsid w:val="00081B74"/>
    <w:rsid w:val="0008240D"/>
    <w:rsid w:val="00082FCB"/>
    <w:rsid w:val="00083E42"/>
    <w:rsid w:val="00084CC0"/>
    <w:rsid w:val="000862B7"/>
    <w:rsid w:val="00087287"/>
    <w:rsid w:val="00087A83"/>
    <w:rsid w:val="00087FED"/>
    <w:rsid w:val="00092190"/>
    <w:rsid w:val="00092B10"/>
    <w:rsid w:val="00093373"/>
    <w:rsid w:val="0009355E"/>
    <w:rsid w:val="00094598"/>
    <w:rsid w:val="0009707A"/>
    <w:rsid w:val="0009774A"/>
    <w:rsid w:val="00097A09"/>
    <w:rsid w:val="000A21ED"/>
    <w:rsid w:val="000A3AEF"/>
    <w:rsid w:val="000A4126"/>
    <w:rsid w:val="000A4161"/>
    <w:rsid w:val="000A65F0"/>
    <w:rsid w:val="000A7FFE"/>
    <w:rsid w:val="000B0514"/>
    <w:rsid w:val="000B0F3F"/>
    <w:rsid w:val="000B3331"/>
    <w:rsid w:val="000B3399"/>
    <w:rsid w:val="000B5362"/>
    <w:rsid w:val="000B58FD"/>
    <w:rsid w:val="000B5D00"/>
    <w:rsid w:val="000B5F5E"/>
    <w:rsid w:val="000C0150"/>
    <w:rsid w:val="000C1744"/>
    <w:rsid w:val="000C28DD"/>
    <w:rsid w:val="000C2ACC"/>
    <w:rsid w:val="000C3278"/>
    <w:rsid w:val="000C3511"/>
    <w:rsid w:val="000C5395"/>
    <w:rsid w:val="000C62DA"/>
    <w:rsid w:val="000C6C30"/>
    <w:rsid w:val="000D0752"/>
    <w:rsid w:val="000D179B"/>
    <w:rsid w:val="000D1CAC"/>
    <w:rsid w:val="000D3C3B"/>
    <w:rsid w:val="000D4543"/>
    <w:rsid w:val="000D50A9"/>
    <w:rsid w:val="000D5297"/>
    <w:rsid w:val="000D68CD"/>
    <w:rsid w:val="000D6AD5"/>
    <w:rsid w:val="000D6E71"/>
    <w:rsid w:val="000D733E"/>
    <w:rsid w:val="000E0ACA"/>
    <w:rsid w:val="000E0E82"/>
    <w:rsid w:val="000E203D"/>
    <w:rsid w:val="000E2152"/>
    <w:rsid w:val="000E2443"/>
    <w:rsid w:val="000E2ACA"/>
    <w:rsid w:val="000E3014"/>
    <w:rsid w:val="000E3180"/>
    <w:rsid w:val="000E51B8"/>
    <w:rsid w:val="000E5429"/>
    <w:rsid w:val="000E5668"/>
    <w:rsid w:val="000E5D06"/>
    <w:rsid w:val="000E60B4"/>
    <w:rsid w:val="000E6C77"/>
    <w:rsid w:val="000F0405"/>
    <w:rsid w:val="000F0821"/>
    <w:rsid w:val="000F1819"/>
    <w:rsid w:val="000F1990"/>
    <w:rsid w:val="000F4694"/>
    <w:rsid w:val="000F5301"/>
    <w:rsid w:val="000F53D7"/>
    <w:rsid w:val="000F558D"/>
    <w:rsid w:val="000F77D4"/>
    <w:rsid w:val="00100323"/>
    <w:rsid w:val="00100692"/>
    <w:rsid w:val="001006CF"/>
    <w:rsid w:val="00101B50"/>
    <w:rsid w:val="00101F8F"/>
    <w:rsid w:val="001029CC"/>
    <w:rsid w:val="00103E59"/>
    <w:rsid w:val="00103E9E"/>
    <w:rsid w:val="001070AB"/>
    <w:rsid w:val="00110858"/>
    <w:rsid w:val="001124F7"/>
    <w:rsid w:val="0011259C"/>
    <w:rsid w:val="00113130"/>
    <w:rsid w:val="00113187"/>
    <w:rsid w:val="001222D8"/>
    <w:rsid w:val="001225DB"/>
    <w:rsid w:val="001235BD"/>
    <w:rsid w:val="0012409E"/>
    <w:rsid w:val="001245A2"/>
    <w:rsid w:val="001248C1"/>
    <w:rsid w:val="0012545E"/>
    <w:rsid w:val="00125957"/>
    <w:rsid w:val="001264AE"/>
    <w:rsid w:val="00126A5B"/>
    <w:rsid w:val="00127C30"/>
    <w:rsid w:val="00130803"/>
    <w:rsid w:val="00131AC9"/>
    <w:rsid w:val="00132481"/>
    <w:rsid w:val="00133B1D"/>
    <w:rsid w:val="00136076"/>
    <w:rsid w:val="00137191"/>
    <w:rsid w:val="00137212"/>
    <w:rsid w:val="0014138F"/>
    <w:rsid w:val="001434C0"/>
    <w:rsid w:val="00145464"/>
    <w:rsid w:val="00145E25"/>
    <w:rsid w:val="001469B2"/>
    <w:rsid w:val="00146D11"/>
    <w:rsid w:val="001509C1"/>
    <w:rsid w:val="0015193C"/>
    <w:rsid w:val="00151BEE"/>
    <w:rsid w:val="00151CF5"/>
    <w:rsid w:val="0015231B"/>
    <w:rsid w:val="0015352A"/>
    <w:rsid w:val="00155171"/>
    <w:rsid w:val="001615B8"/>
    <w:rsid w:val="00163FA2"/>
    <w:rsid w:val="0016590C"/>
    <w:rsid w:val="00165AE1"/>
    <w:rsid w:val="00165BC1"/>
    <w:rsid w:val="001675AF"/>
    <w:rsid w:val="0017033A"/>
    <w:rsid w:val="001703CB"/>
    <w:rsid w:val="0017186C"/>
    <w:rsid w:val="00171E69"/>
    <w:rsid w:val="00175E83"/>
    <w:rsid w:val="0017614E"/>
    <w:rsid w:val="00176B92"/>
    <w:rsid w:val="001800FB"/>
    <w:rsid w:val="00181363"/>
    <w:rsid w:val="00181FE9"/>
    <w:rsid w:val="00184EFE"/>
    <w:rsid w:val="001854FC"/>
    <w:rsid w:val="0019019B"/>
    <w:rsid w:val="00191AFF"/>
    <w:rsid w:val="00193955"/>
    <w:rsid w:val="001940DB"/>
    <w:rsid w:val="001962F6"/>
    <w:rsid w:val="00196BCD"/>
    <w:rsid w:val="00197E5A"/>
    <w:rsid w:val="001A3503"/>
    <w:rsid w:val="001A455D"/>
    <w:rsid w:val="001A4678"/>
    <w:rsid w:val="001A5211"/>
    <w:rsid w:val="001A6A16"/>
    <w:rsid w:val="001A6DDC"/>
    <w:rsid w:val="001A6F93"/>
    <w:rsid w:val="001A7A00"/>
    <w:rsid w:val="001A7F2B"/>
    <w:rsid w:val="001B0655"/>
    <w:rsid w:val="001B3106"/>
    <w:rsid w:val="001B4AC8"/>
    <w:rsid w:val="001B6492"/>
    <w:rsid w:val="001B65BF"/>
    <w:rsid w:val="001B702A"/>
    <w:rsid w:val="001B70A0"/>
    <w:rsid w:val="001B72CA"/>
    <w:rsid w:val="001C03EF"/>
    <w:rsid w:val="001C04A2"/>
    <w:rsid w:val="001C311F"/>
    <w:rsid w:val="001C43D7"/>
    <w:rsid w:val="001C4973"/>
    <w:rsid w:val="001C561C"/>
    <w:rsid w:val="001C65E7"/>
    <w:rsid w:val="001C7881"/>
    <w:rsid w:val="001D0472"/>
    <w:rsid w:val="001D1FA0"/>
    <w:rsid w:val="001D2A95"/>
    <w:rsid w:val="001D3C79"/>
    <w:rsid w:val="001D4DB2"/>
    <w:rsid w:val="001D515B"/>
    <w:rsid w:val="001D5426"/>
    <w:rsid w:val="001D5A99"/>
    <w:rsid w:val="001D5C55"/>
    <w:rsid w:val="001D7653"/>
    <w:rsid w:val="001E0DAD"/>
    <w:rsid w:val="001E20C0"/>
    <w:rsid w:val="001E21EA"/>
    <w:rsid w:val="001E24D7"/>
    <w:rsid w:val="001E3190"/>
    <w:rsid w:val="001E3ECA"/>
    <w:rsid w:val="001E4B5B"/>
    <w:rsid w:val="001F1C24"/>
    <w:rsid w:val="001F360C"/>
    <w:rsid w:val="001F486D"/>
    <w:rsid w:val="001F5C65"/>
    <w:rsid w:val="001F761F"/>
    <w:rsid w:val="002001E2"/>
    <w:rsid w:val="0020082F"/>
    <w:rsid w:val="00201B01"/>
    <w:rsid w:val="002021FC"/>
    <w:rsid w:val="00202EE6"/>
    <w:rsid w:val="002033EE"/>
    <w:rsid w:val="00203664"/>
    <w:rsid w:val="0020396D"/>
    <w:rsid w:val="00204DB1"/>
    <w:rsid w:val="00206BE5"/>
    <w:rsid w:val="002071EC"/>
    <w:rsid w:val="00207211"/>
    <w:rsid w:val="00207B23"/>
    <w:rsid w:val="00210E8C"/>
    <w:rsid w:val="002111B9"/>
    <w:rsid w:val="00211666"/>
    <w:rsid w:val="002126BD"/>
    <w:rsid w:val="00213C11"/>
    <w:rsid w:val="00215B09"/>
    <w:rsid w:val="002166FC"/>
    <w:rsid w:val="002168FA"/>
    <w:rsid w:val="00217699"/>
    <w:rsid w:val="0022005B"/>
    <w:rsid w:val="00220129"/>
    <w:rsid w:val="00220B5E"/>
    <w:rsid w:val="00220F57"/>
    <w:rsid w:val="00221B3C"/>
    <w:rsid w:val="0022342A"/>
    <w:rsid w:val="002235BC"/>
    <w:rsid w:val="0022491A"/>
    <w:rsid w:val="002249C1"/>
    <w:rsid w:val="00225206"/>
    <w:rsid w:val="002269E1"/>
    <w:rsid w:val="00227251"/>
    <w:rsid w:val="00227B1A"/>
    <w:rsid w:val="0023013B"/>
    <w:rsid w:val="0023096E"/>
    <w:rsid w:val="00232976"/>
    <w:rsid w:val="00232B5B"/>
    <w:rsid w:val="00236133"/>
    <w:rsid w:val="0023738D"/>
    <w:rsid w:val="0024081A"/>
    <w:rsid w:val="00241A6B"/>
    <w:rsid w:val="00241FC9"/>
    <w:rsid w:val="00242CEC"/>
    <w:rsid w:val="00243328"/>
    <w:rsid w:val="0024348A"/>
    <w:rsid w:val="002437BC"/>
    <w:rsid w:val="00244C17"/>
    <w:rsid w:val="00247BAB"/>
    <w:rsid w:val="0025189A"/>
    <w:rsid w:val="00251D10"/>
    <w:rsid w:val="00252F06"/>
    <w:rsid w:val="00254F83"/>
    <w:rsid w:val="0025574A"/>
    <w:rsid w:val="0025676B"/>
    <w:rsid w:val="00256AFF"/>
    <w:rsid w:val="00257C04"/>
    <w:rsid w:val="00260A69"/>
    <w:rsid w:val="0026112C"/>
    <w:rsid w:val="00261599"/>
    <w:rsid w:val="00262213"/>
    <w:rsid w:val="002624E6"/>
    <w:rsid w:val="00264BE5"/>
    <w:rsid w:val="0026665C"/>
    <w:rsid w:val="002667C8"/>
    <w:rsid w:val="00266F08"/>
    <w:rsid w:val="002703AB"/>
    <w:rsid w:val="00271A67"/>
    <w:rsid w:val="00271B53"/>
    <w:rsid w:val="00272815"/>
    <w:rsid w:val="0027358A"/>
    <w:rsid w:val="002742D8"/>
    <w:rsid w:val="002743F0"/>
    <w:rsid w:val="002746C5"/>
    <w:rsid w:val="0027498F"/>
    <w:rsid w:val="00275950"/>
    <w:rsid w:val="00276993"/>
    <w:rsid w:val="00283EC5"/>
    <w:rsid w:val="00285463"/>
    <w:rsid w:val="00286374"/>
    <w:rsid w:val="00286D57"/>
    <w:rsid w:val="0029012F"/>
    <w:rsid w:val="00291175"/>
    <w:rsid w:val="00293052"/>
    <w:rsid w:val="002935B9"/>
    <w:rsid w:val="00293C02"/>
    <w:rsid w:val="0029437E"/>
    <w:rsid w:val="002A1568"/>
    <w:rsid w:val="002A1D68"/>
    <w:rsid w:val="002A1DFE"/>
    <w:rsid w:val="002A1FEE"/>
    <w:rsid w:val="002A2761"/>
    <w:rsid w:val="002A3E6D"/>
    <w:rsid w:val="002A44F9"/>
    <w:rsid w:val="002A4639"/>
    <w:rsid w:val="002A586A"/>
    <w:rsid w:val="002A7789"/>
    <w:rsid w:val="002B2DAC"/>
    <w:rsid w:val="002B538B"/>
    <w:rsid w:val="002B64A3"/>
    <w:rsid w:val="002C1B02"/>
    <w:rsid w:val="002C23A6"/>
    <w:rsid w:val="002C32A8"/>
    <w:rsid w:val="002C3C8F"/>
    <w:rsid w:val="002C4A70"/>
    <w:rsid w:val="002C7357"/>
    <w:rsid w:val="002D10F9"/>
    <w:rsid w:val="002D2DB0"/>
    <w:rsid w:val="002D4C11"/>
    <w:rsid w:val="002D6ABB"/>
    <w:rsid w:val="002E086C"/>
    <w:rsid w:val="002E0CF4"/>
    <w:rsid w:val="002E10CB"/>
    <w:rsid w:val="002E111F"/>
    <w:rsid w:val="002E119D"/>
    <w:rsid w:val="002E2808"/>
    <w:rsid w:val="002E4230"/>
    <w:rsid w:val="002E55E2"/>
    <w:rsid w:val="002E5DB1"/>
    <w:rsid w:val="002E6F94"/>
    <w:rsid w:val="002E79A4"/>
    <w:rsid w:val="002E7EBC"/>
    <w:rsid w:val="002F386A"/>
    <w:rsid w:val="002F539E"/>
    <w:rsid w:val="002F5585"/>
    <w:rsid w:val="002F694D"/>
    <w:rsid w:val="002F7478"/>
    <w:rsid w:val="00301330"/>
    <w:rsid w:val="003013EF"/>
    <w:rsid w:val="00302A94"/>
    <w:rsid w:val="00302FB4"/>
    <w:rsid w:val="00303ED3"/>
    <w:rsid w:val="003041D4"/>
    <w:rsid w:val="00304C1B"/>
    <w:rsid w:val="00304D40"/>
    <w:rsid w:val="00304F6C"/>
    <w:rsid w:val="0030512A"/>
    <w:rsid w:val="0030523D"/>
    <w:rsid w:val="003056E5"/>
    <w:rsid w:val="00305705"/>
    <w:rsid w:val="0030709A"/>
    <w:rsid w:val="00307A72"/>
    <w:rsid w:val="00307BAD"/>
    <w:rsid w:val="00307E35"/>
    <w:rsid w:val="00311033"/>
    <w:rsid w:val="00311F7C"/>
    <w:rsid w:val="0031221A"/>
    <w:rsid w:val="00312B02"/>
    <w:rsid w:val="0031393C"/>
    <w:rsid w:val="00314518"/>
    <w:rsid w:val="0031574C"/>
    <w:rsid w:val="00315E92"/>
    <w:rsid w:val="00317091"/>
    <w:rsid w:val="003227F8"/>
    <w:rsid w:val="003236D6"/>
    <w:rsid w:val="0032501B"/>
    <w:rsid w:val="0032503F"/>
    <w:rsid w:val="003250A8"/>
    <w:rsid w:val="00325513"/>
    <w:rsid w:val="003258EF"/>
    <w:rsid w:val="00325EF8"/>
    <w:rsid w:val="003261A4"/>
    <w:rsid w:val="0032794E"/>
    <w:rsid w:val="00330CB8"/>
    <w:rsid w:val="003322CE"/>
    <w:rsid w:val="00333082"/>
    <w:rsid w:val="00333F17"/>
    <w:rsid w:val="00333FC2"/>
    <w:rsid w:val="0033437F"/>
    <w:rsid w:val="003360BB"/>
    <w:rsid w:val="0033642F"/>
    <w:rsid w:val="003370E2"/>
    <w:rsid w:val="00337C42"/>
    <w:rsid w:val="003402BB"/>
    <w:rsid w:val="00340E69"/>
    <w:rsid w:val="00341BFD"/>
    <w:rsid w:val="00341CB2"/>
    <w:rsid w:val="00342C28"/>
    <w:rsid w:val="00344173"/>
    <w:rsid w:val="00345100"/>
    <w:rsid w:val="0034525F"/>
    <w:rsid w:val="00351704"/>
    <w:rsid w:val="00351884"/>
    <w:rsid w:val="00351C0D"/>
    <w:rsid w:val="0035377D"/>
    <w:rsid w:val="00353F89"/>
    <w:rsid w:val="003543AA"/>
    <w:rsid w:val="0035464D"/>
    <w:rsid w:val="00354BCE"/>
    <w:rsid w:val="00355572"/>
    <w:rsid w:val="00356BEA"/>
    <w:rsid w:val="00357B68"/>
    <w:rsid w:val="003603E1"/>
    <w:rsid w:val="00360910"/>
    <w:rsid w:val="0036178A"/>
    <w:rsid w:val="003620E6"/>
    <w:rsid w:val="00362C31"/>
    <w:rsid w:val="0036307C"/>
    <w:rsid w:val="00363F65"/>
    <w:rsid w:val="003640F2"/>
    <w:rsid w:val="003656ED"/>
    <w:rsid w:val="0036785C"/>
    <w:rsid w:val="0037080F"/>
    <w:rsid w:val="003713A7"/>
    <w:rsid w:val="00371556"/>
    <w:rsid w:val="00373454"/>
    <w:rsid w:val="00374F03"/>
    <w:rsid w:val="00374FD2"/>
    <w:rsid w:val="00375960"/>
    <w:rsid w:val="003765BE"/>
    <w:rsid w:val="00377520"/>
    <w:rsid w:val="003808A0"/>
    <w:rsid w:val="003836F0"/>
    <w:rsid w:val="00383825"/>
    <w:rsid w:val="00383CFE"/>
    <w:rsid w:val="00383D5C"/>
    <w:rsid w:val="00383EC9"/>
    <w:rsid w:val="00384B82"/>
    <w:rsid w:val="00386665"/>
    <w:rsid w:val="00386E57"/>
    <w:rsid w:val="003919FD"/>
    <w:rsid w:val="00392261"/>
    <w:rsid w:val="00392968"/>
    <w:rsid w:val="003936ED"/>
    <w:rsid w:val="00393BA3"/>
    <w:rsid w:val="0039480D"/>
    <w:rsid w:val="00394A2C"/>
    <w:rsid w:val="003A056A"/>
    <w:rsid w:val="003A087C"/>
    <w:rsid w:val="003A0C55"/>
    <w:rsid w:val="003A1BE0"/>
    <w:rsid w:val="003A1CB0"/>
    <w:rsid w:val="003A4F16"/>
    <w:rsid w:val="003B321F"/>
    <w:rsid w:val="003B3AB5"/>
    <w:rsid w:val="003B4588"/>
    <w:rsid w:val="003B7FFD"/>
    <w:rsid w:val="003C00C9"/>
    <w:rsid w:val="003C1F3A"/>
    <w:rsid w:val="003C2A27"/>
    <w:rsid w:val="003C36D5"/>
    <w:rsid w:val="003C3DC6"/>
    <w:rsid w:val="003C5B90"/>
    <w:rsid w:val="003C6326"/>
    <w:rsid w:val="003C6482"/>
    <w:rsid w:val="003C6AD5"/>
    <w:rsid w:val="003C73F4"/>
    <w:rsid w:val="003C78C1"/>
    <w:rsid w:val="003D01CF"/>
    <w:rsid w:val="003D1CE7"/>
    <w:rsid w:val="003D2CA1"/>
    <w:rsid w:val="003D3239"/>
    <w:rsid w:val="003D323C"/>
    <w:rsid w:val="003D42E4"/>
    <w:rsid w:val="003D4A5C"/>
    <w:rsid w:val="003D4ED3"/>
    <w:rsid w:val="003D547A"/>
    <w:rsid w:val="003D577D"/>
    <w:rsid w:val="003D62C4"/>
    <w:rsid w:val="003D6FF1"/>
    <w:rsid w:val="003E0097"/>
    <w:rsid w:val="003E101F"/>
    <w:rsid w:val="003E13C9"/>
    <w:rsid w:val="003E3813"/>
    <w:rsid w:val="003E5578"/>
    <w:rsid w:val="003E7D54"/>
    <w:rsid w:val="003E7E94"/>
    <w:rsid w:val="003F0246"/>
    <w:rsid w:val="003F0B9C"/>
    <w:rsid w:val="003F1C2A"/>
    <w:rsid w:val="003F1F9D"/>
    <w:rsid w:val="003F232B"/>
    <w:rsid w:val="003F2B72"/>
    <w:rsid w:val="003F370C"/>
    <w:rsid w:val="003F4912"/>
    <w:rsid w:val="003F4B54"/>
    <w:rsid w:val="003F7F21"/>
    <w:rsid w:val="0040170F"/>
    <w:rsid w:val="004018A6"/>
    <w:rsid w:val="004028CD"/>
    <w:rsid w:val="00407A1F"/>
    <w:rsid w:val="004116CE"/>
    <w:rsid w:val="00411B55"/>
    <w:rsid w:val="00412315"/>
    <w:rsid w:val="00413339"/>
    <w:rsid w:val="0041507C"/>
    <w:rsid w:val="00416DDA"/>
    <w:rsid w:val="00420AA3"/>
    <w:rsid w:val="00420D2C"/>
    <w:rsid w:val="00421249"/>
    <w:rsid w:val="00421ADC"/>
    <w:rsid w:val="004244CB"/>
    <w:rsid w:val="00424C0D"/>
    <w:rsid w:val="00425174"/>
    <w:rsid w:val="00425375"/>
    <w:rsid w:val="00425639"/>
    <w:rsid w:val="00427698"/>
    <w:rsid w:val="00427AD2"/>
    <w:rsid w:val="0043054A"/>
    <w:rsid w:val="00430664"/>
    <w:rsid w:val="0043134D"/>
    <w:rsid w:val="00431E33"/>
    <w:rsid w:val="004326BE"/>
    <w:rsid w:val="00433D13"/>
    <w:rsid w:val="00434503"/>
    <w:rsid w:val="0043592F"/>
    <w:rsid w:val="004367D7"/>
    <w:rsid w:val="00440307"/>
    <w:rsid w:val="00440BB0"/>
    <w:rsid w:val="00441557"/>
    <w:rsid w:val="00442C32"/>
    <w:rsid w:val="004448A2"/>
    <w:rsid w:val="00444A72"/>
    <w:rsid w:val="00445714"/>
    <w:rsid w:val="004464BD"/>
    <w:rsid w:val="00446C42"/>
    <w:rsid w:val="0044745D"/>
    <w:rsid w:val="004506D9"/>
    <w:rsid w:val="004509F9"/>
    <w:rsid w:val="004527B8"/>
    <w:rsid w:val="00452A47"/>
    <w:rsid w:val="00453719"/>
    <w:rsid w:val="00456361"/>
    <w:rsid w:val="0045729F"/>
    <w:rsid w:val="004576FC"/>
    <w:rsid w:val="00457812"/>
    <w:rsid w:val="00457ACA"/>
    <w:rsid w:val="0046045F"/>
    <w:rsid w:val="00460A2B"/>
    <w:rsid w:val="00460CD7"/>
    <w:rsid w:val="00461F30"/>
    <w:rsid w:val="00462B4D"/>
    <w:rsid w:val="00462DAA"/>
    <w:rsid w:val="0046304E"/>
    <w:rsid w:val="004631C7"/>
    <w:rsid w:val="00463614"/>
    <w:rsid w:val="00466614"/>
    <w:rsid w:val="00470885"/>
    <w:rsid w:val="00470FA2"/>
    <w:rsid w:val="00472599"/>
    <w:rsid w:val="004728A0"/>
    <w:rsid w:val="00473288"/>
    <w:rsid w:val="004751E3"/>
    <w:rsid w:val="00476A6E"/>
    <w:rsid w:val="00476D6E"/>
    <w:rsid w:val="004775B3"/>
    <w:rsid w:val="00477894"/>
    <w:rsid w:val="00477B5B"/>
    <w:rsid w:val="00480037"/>
    <w:rsid w:val="00480BB0"/>
    <w:rsid w:val="0048139F"/>
    <w:rsid w:val="00481C22"/>
    <w:rsid w:val="004820A5"/>
    <w:rsid w:val="00482194"/>
    <w:rsid w:val="00484D07"/>
    <w:rsid w:val="00485EAF"/>
    <w:rsid w:val="00486A9A"/>
    <w:rsid w:val="00487119"/>
    <w:rsid w:val="00487640"/>
    <w:rsid w:val="004877B3"/>
    <w:rsid w:val="00490043"/>
    <w:rsid w:val="0049062B"/>
    <w:rsid w:val="00490C96"/>
    <w:rsid w:val="00490F68"/>
    <w:rsid w:val="00492650"/>
    <w:rsid w:val="00492FFC"/>
    <w:rsid w:val="0049525C"/>
    <w:rsid w:val="00496AEB"/>
    <w:rsid w:val="004A2616"/>
    <w:rsid w:val="004A26AB"/>
    <w:rsid w:val="004A274B"/>
    <w:rsid w:val="004A2DD2"/>
    <w:rsid w:val="004A63E0"/>
    <w:rsid w:val="004A747E"/>
    <w:rsid w:val="004A7685"/>
    <w:rsid w:val="004A7774"/>
    <w:rsid w:val="004A7990"/>
    <w:rsid w:val="004A7B1D"/>
    <w:rsid w:val="004B07A7"/>
    <w:rsid w:val="004B094A"/>
    <w:rsid w:val="004B1597"/>
    <w:rsid w:val="004B3898"/>
    <w:rsid w:val="004B3AFA"/>
    <w:rsid w:val="004B429C"/>
    <w:rsid w:val="004B5179"/>
    <w:rsid w:val="004B6DB0"/>
    <w:rsid w:val="004C0E8D"/>
    <w:rsid w:val="004C1161"/>
    <w:rsid w:val="004C4A51"/>
    <w:rsid w:val="004C4FBE"/>
    <w:rsid w:val="004C5324"/>
    <w:rsid w:val="004C553F"/>
    <w:rsid w:val="004D01A6"/>
    <w:rsid w:val="004D05BB"/>
    <w:rsid w:val="004D1417"/>
    <w:rsid w:val="004D3E8E"/>
    <w:rsid w:val="004D64A7"/>
    <w:rsid w:val="004D6779"/>
    <w:rsid w:val="004D6941"/>
    <w:rsid w:val="004D7FCF"/>
    <w:rsid w:val="004E06E8"/>
    <w:rsid w:val="004E07F3"/>
    <w:rsid w:val="004E1747"/>
    <w:rsid w:val="004E188A"/>
    <w:rsid w:val="004E30BD"/>
    <w:rsid w:val="004E31DA"/>
    <w:rsid w:val="004E33B9"/>
    <w:rsid w:val="004E3B38"/>
    <w:rsid w:val="004E432A"/>
    <w:rsid w:val="004E5FA9"/>
    <w:rsid w:val="004E6574"/>
    <w:rsid w:val="004E7077"/>
    <w:rsid w:val="004E7C42"/>
    <w:rsid w:val="004F09B1"/>
    <w:rsid w:val="004F12D7"/>
    <w:rsid w:val="004F2331"/>
    <w:rsid w:val="004F24C2"/>
    <w:rsid w:val="004F2973"/>
    <w:rsid w:val="004F2C1F"/>
    <w:rsid w:val="004F432A"/>
    <w:rsid w:val="004F4594"/>
    <w:rsid w:val="004F6F45"/>
    <w:rsid w:val="004F706C"/>
    <w:rsid w:val="004F73B5"/>
    <w:rsid w:val="00500476"/>
    <w:rsid w:val="00500F06"/>
    <w:rsid w:val="005013ED"/>
    <w:rsid w:val="00502AFD"/>
    <w:rsid w:val="00502DB6"/>
    <w:rsid w:val="00503CD6"/>
    <w:rsid w:val="00505B0B"/>
    <w:rsid w:val="005068DB"/>
    <w:rsid w:val="00506C3F"/>
    <w:rsid w:val="00507367"/>
    <w:rsid w:val="00507F61"/>
    <w:rsid w:val="0051145F"/>
    <w:rsid w:val="005122EF"/>
    <w:rsid w:val="00512BAE"/>
    <w:rsid w:val="005137CC"/>
    <w:rsid w:val="00514C95"/>
    <w:rsid w:val="00514FBC"/>
    <w:rsid w:val="00515C5A"/>
    <w:rsid w:val="00517CF4"/>
    <w:rsid w:val="00520410"/>
    <w:rsid w:val="00520C48"/>
    <w:rsid w:val="00522279"/>
    <w:rsid w:val="005224A9"/>
    <w:rsid w:val="00524311"/>
    <w:rsid w:val="005249BE"/>
    <w:rsid w:val="00524B14"/>
    <w:rsid w:val="00524B1F"/>
    <w:rsid w:val="00525566"/>
    <w:rsid w:val="00526791"/>
    <w:rsid w:val="00527BEF"/>
    <w:rsid w:val="00530AD8"/>
    <w:rsid w:val="0053110B"/>
    <w:rsid w:val="00531B63"/>
    <w:rsid w:val="00533525"/>
    <w:rsid w:val="00533F1E"/>
    <w:rsid w:val="00534A1D"/>
    <w:rsid w:val="00536BD9"/>
    <w:rsid w:val="00537863"/>
    <w:rsid w:val="005406FA"/>
    <w:rsid w:val="005407DF"/>
    <w:rsid w:val="005409ED"/>
    <w:rsid w:val="0054270F"/>
    <w:rsid w:val="0054280F"/>
    <w:rsid w:val="005435C4"/>
    <w:rsid w:val="005436E7"/>
    <w:rsid w:val="005446E1"/>
    <w:rsid w:val="00544BC1"/>
    <w:rsid w:val="00545112"/>
    <w:rsid w:val="005452DB"/>
    <w:rsid w:val="00550D44"/>
    <w:rsid w:val="005513BB"/>
    <w:rsid w:val="005513F9"/>
    <w:rsid w:val="00553C53"/>
    <w:rsid w:val="00553EEE"/>
    <w:rsid w:val="005570EA"/>
    <w:rsid w:val="00560766"/>
    <w:rsid w:val="00560B60"/>
    <w:rsid w:val="0056136F"/>
    <w:rsid w:val="0056199C"/>
    <w:rsid w:val="0056280B"/>
    <w:rsid w:val="0056321A"/>
    <w:rsid w:val="00565987"/>
    <w:rsid w:val="00565A57"/>
    <w:rsid w:val="00565D88"/>
    <w:rsid w:val="00565FBC"/>
    <w:rsid w:val="00566B8A"/>
    <w:rsid w:val="005705F9"/>
    <w:rsid w:val="005711D2"/>
    <w:rsid w:val="00571D2E"/>
    <w:rsid w:val="00572FC0"/>
    <w:rsid w:val="005741C4"/>
    <w:rsid w:val="005743BA"/>
    <w:rsid w:val="00574423"/>
    <w:rsid w:val="00574C62"/>
    <w:rsid w:val="00575553"/>
    <w:rsid w:val="00575580"/>
    <w:rsid w:val="00576A89"/>
    <w:rsid w:val="00577150"/>
    <w:rsid w:val="00577468"/>
    <w:rsid w:val="00581158"/>
    <w:rsid w:val="00585A00"/>
    <w:rsid w:val="00585F31"/>
    <w:rsid w:val="005863FB"/>
    <w:rsid w:val="005909A7"/>
    <w:rsid w:val="00590D49"/>
    <w:rsid w:val="00592E67"/>
    <w:rsid w:val="00592F9A"/>
    <w:rsid w:val="00593506"/>
    <w:rsid w:val="00593E2E"/>
    <w:rsid w:val="00595778"/>
    <w:rsid w:val="0059730A"/>
    <w:rsid w:val="005A03D1"/>
    <w:rsid w:val="005A05BD"/>
    <w:rsid w:val="005A0871"/>
    <w:rsid w:val="005A2A6C"/>
    <w:rsid w:val="005A37A7"/>
    <w:rsid w:val="005A427B"/>
    <w:rsid w:val="005A43A8"/>
    <w:rsid w:val="005A54E9"/>
    <w:rsid w:val="005B081A"/>
    <w:rsid w:val="005B0F4B"/>
    <w:rsid w:val="005B205B"/>
    <w:rsid w:val="005B3542"/>
    <w:rsid w:val="005B483B"/>
    <w:rsid w:val="005B4E75"/>
    <w:rsid w:val="005B50EE"/>
    <w:rsid w:val="005B559C"/>
    <w:rsid w:val="005B67D9"/>
    <w:rsid w:val="005C0F3D"/>
    <w:rsid w:val="005C128F"/>
    <w:rsid w:val="005C27D1"/>
    <w:rsid w:val="005C28F6"/>
    <w:rsid w:val="005C4BFB"/>
    <w:rsid w:val="005C5B28"/>
    <w:rsid w:val="005C613F"/>
    <w:rsid w:val="005C6171"/>
    <w:rsid w:val="005C717C"/>
    <w:rsid w:val="005C7B51"/>
    <w:rsid w:val="005C7D6B"/>
    <w:rsid w:val="005C7DE7"/>
    <w:rsid w:val="005D06CA"/>
    <w:rsid w:val="005D263D"/>
    <w:rsid w:val="005D4BBA"/>
    <w:rsid w:val="005D634F"/>
    <w:rsid w:val="005E3113"/>
    <w:rsid w:val="005E4B07"/>
    <w:rsid w:val="005E54CF"/>
    <w:rsid w:val="005E6542"/>
    <w:rsid w:val="005F0A10"/>
    <w:rsid w:val="005F0C61"/>
    <w:rsid w:val="005F0EE3"/>
    <w:rsid w:val="005F3302"/>
    <w:rsid w:val="005F3323"/>
    <w:rsid w:val="005F3496"/>
    <w:rsid w:val="005F409B"/>
    <w:rsid w:val="005F50C9"/>
    <w:rsid w:val="005F551F"/>
    <w:rsid w:val="006010EF"/>
    <w:rsid w:val="00602FF5"/>
    <w:rsid w:val="00603BD7"/>
    <w:rsid w:val="006041D7"/>
    <w:rsid w:val="0060527E"/>
    <w:rsid w:val="00605477"/>
    <w:rsid w:val="006065A1"/>
    <w:rsid w:val="00607898"/>
    <w:rsid w:val="006079B9"/>
    <w:rsid w:val="00607B13"/>
    <w:rsid w:val="00610228"/>
    <w:rsid w:val="0061029F"/>
    <w:rsid w:val="00610D5C"/>
    <w:rsid w:val="00610EE1"/>
    <w:rsid w:val="0061124C"/>
    <w:rsid w:val="00611C45"/>
    <w:rsid w:val="00611ED7"/>
    <w:rsid w:val="00612793"/>
    <w:rsid w:val="00613016"/>
    <w:rsid w:val="00614ABD"/>
    <w:rsid w:val="006150F7"/>
    <w:rsid w:val="00615C54"/>
    <w:rsid w:val="00616252"/>
    <w:rsid w:val="00616413"/>
    <w:rsid w:val="006168A2"/>
    <w:rsid w:val="006170E6"/>
    <w:rsid w:val="00617908"/>
    <w:rsid w:val="006202DA"/>
    <w:rsid w:val="006211B7"/>
    <w:rsid w:val="00621666"/>
    <w:rsid w:val="00623335"/>
    <w:rsid w:val="0062390C"/>
    <w:rsid w:val="0062472D"/>
    <w:rsid w:val="00625F70"/>
    <w:rsid w:val="00627322"/>
    <w:rsid w:val="006319C5"/>
    <w:rsid w:val="00632D7C"/>
    <w:rsid w:val="00632ECC"/>
    <w:rsid w:val="00635728"/>
    <w:rsid w:val="006375A4"/>
    <w:rsid w:val="00640F3A"/>
    <w:rsid w:val="006422C3"/>
    <w:rsid w:val="006424B9"/>
    <w:rsid w:val="006440EA"/>
    <w:rsid w:val="00645CC8"/>
    <w:rsid w:val="00645E0D"/>
    <w:rsid w:val="006466ED"/>
    <w:rsid w:val="00647741"/>
    <w:rsid w:val="00647948"/>
    <w:rsid w:val="006510E9"/>
    <w:rsid w:val="0065315E"/>
    <w:rsid w:val="00655EEB"/>
    <w:rsid w:val="00656113"/>
    <w:rsid w:val="00657CE7"/>
    <w:rsid w:val="0066053C"/>
    <w:rsid w:val="00660FB2"/>
    <w:rsid w:val="00662F49"/>
    <w:rsid w:val="00663C17"/>
    <w:rsid w:val="00663EB6"/>
    <w:rsid w:val="00664D22"/>
    <w:rsid w:val="00665DBE"/>
    <w:rsid w:val="00667A28"/>
    <w:rsid w:val="0067087B"/>
    <w:rsid w:val="00673184"/>
    <w:rsid w:val="0067342C"/>
    <w:rsid w:val="006738EB"/>
    <w:rsid w:val="00674432"/>
    <w:rsid w:val="00675E44"/>
    <w:rsid w:val="00676D88"/>
    <w:rsid w:val="006773CF"/>
    <w:rsid w:val="0068048F"/>
    <w:rsid w:val="006805DB"/>
    <w:rsid w:val="00681BBD"/>
    <w:rsid w:val="006828DB"/>
    <w:rsid w:val="006902FE"/>
    <w:rsid w:val="006904CB"/>
    <w:rsid w:val="00691185"/>
    <w:rsid w:val="006929C7"/>
    <w:rsid w:val="00694392"/>
    <w:rsid w:val="0069471E"/>
    <w:rsid w:val="0069524D"/>
    <w:rsid w:val="00696503"/>
    <w:rsid w:val="006A03FD"/>
    <w:rsid w:val="006A05ED"/>
    <w:rsid w:val="006A14FD"/>
    <w:rsid w:val="006A2804"/>
    <w:rsid w:val="006A5238"/>
    <w:rsid w:val="006A6950"/>
    <w:rsid w:val="006B0774"/>
    <w:rsid w:val="006B099F"/>
    <w:rsid w:val="006B3BCC"/>
    <w:rsid w:val="006B3F76"/>
    <w:rsid w:val="006B4C03"/>
    <w:rsid w:val="006B5064"/>
    <w:rsid w:val="006B5D1D"/>
    <w:rsid w:val="006C00C8"/>
    <w:rsid w:val="006C07B6"/>
    <w:rsid w:val="006C233D"/>
    <w:rsid w:val="006C260B"/>
    <w:rsid w:val="006C2BEE"/>
    <w:rsid w:val="006C3126"/>
    <w:rsid w:val="006C3595"/>
    <w:rsid w:val="006C40F7"/>
    <w:rsid w:val="006C5441"/>
    <w:rsid w:val="006C5514"/>
    <w:rsid w:val="006C69A3"/>
    <w:rsid w:val="006C7370"/>
    <w:rsid w:val="006D00B0"/>
    <w:rsid w:val="006D0DC9"/>
    <w:rsid w:val="006D1486"/>
    <w:rsid w:val="006D1B8C"/>
    <w:rsid w:val="006D2BFD"/>
    <w:rsid w:val="006D332E"/>
    <w:rsid w:val="006D33AF"/>
    <w:rsid w:val="006D3C29"/>
    <w:rsid w:val="006D4B41"/>
    <w:rsid w:val="006D62FA"/>
    <w:rsid w:val="006D6325"/>
    <w:rsid w:val="006D67F7"/>
    <w:rsid w:val="006D7678"/>
    <w:rsid w:val="006E05A2"/>
    <w:rsid w:val="006E0B25"/>
    <w:rsid w:val="006E3A16"/>
    <w:rsid w:val="006E4E8B"/>
    <w:rsid w:val="006E5B4F"/>
    <w:rsid w:val="006E759A"/>
    <w:rsid w:val="006F069E"/>
    <w:rsid w:val="006F0836"/>
    <w:rsid w:val="006F1D6A"/>
    <w:rsid w:val="006F299F"/>
    <w:rsid w:val="006F3AE1"/>
    <w:rsid w:val="006F3EFA"/>
    <w:rsid w:val="006F69C1"/>
    <w:rsid w:val="006F72DA"/>
    <w:rsid w:val="007017AD"/>
    <w:rsid w:val="00702139"/>
    <w:rsid w:val="007038A5"/>
    <w:rsid w:val="00704C8A"/>
    <w:rsid w:val="00705D01"/>
    <w:rsid w:val="00706ACA"/>
    <w:rsid w:val="007073AD"/>
    <w:rsid w:val="007074FF"/>
    <w:rsid w:val="00710490"/>
    <w:rsid w:val="00711364"/>
    <w:rsid w:val="00711652"/>
    <w:rsid w:val="00712962"/>
    <w:rsid w:val="0071365D"/>
    <w:rsid w:val="00714F04"/>
    <w:rsid w:val="00715434"/>
    <w:rsid w:val="007163FE"/>
    <w:rsid w:val="007206D4"/>
    <w:rsid w:val="00720809"/>
    <w:rsid w:val="007208ED"/>
    <w:rsid w:val="00721077"/>
    <w:rsid w:val="00722CF8"/>
    <w:rsid w:val="00723387"/>
    <w:rsid w:val="00723F00"/>
    <w:rsid w:val="00724F67"/>
    <w:rsid w:val="007300BD"/>
    <w:rsid w:val="007300E7"/>
    <w:rsid w:val="007315DB"/>
    <w:rsid w:val="00731A1C"/>
    <w:rsid w:val="00733E3A"/>
    <w:rsid w:val="0073489C"/>
    <w:rsid w:val="00736778"/>
    <w:rsid w:val="007370F8"/>
    <w:rsid w:val="00740E58"/>
    <w:rsid w:val="00740EFE"/>
    <w:rsid w:val="00742853"/>
    <w:rsid w:val="007430CE"/>
    <w:rsid w:val="0074369B"/>
    <w:rsid w:val="00743A75"/>
    <w:rsid w:val="00743EA0"/>
    <w:rsid w:val="007477E7"/>
    <w:rsid w:val="00747F60"/>
    <w:rsid w:val="00750870"/>
    <w:rsid w:val="00750B58"/>
    <w:rsid w:val="00750CF3"/>
    <w:rsid w:val="00752527"/>
    <w:rsid w:val="00752C53"/>
    <w:rsid w:val="00752ED8"/>
    <w:rsid w:val="0075305D"/>
    <w:rsid w:val="007530A9"/>
    <w:rsid w:val="00753379"/>
    <w:rsid w:val="007535F4"/>
    <w:rsid w:val="00754395"/>
    <w:rsid w:val="00754BB7"/>
    <w:rsid w:val="00755DFC"/>
    <w:rsid w:val="00757A5E"/>
    <w:rsid w:val="007605D7"/>
    <w:rsid w:val="00760614"/>
    <w:rsid w:val="00760F98"/>
    <w:rsid w:val="007616FE"/>
    <w:rsid w:val="0076179D"/>
    <w:rsid w:val="00762BB4"/>
    <w:rsid w:val="007638BB"/>
    <w:rsid w:val="00763C50"/>
    <w:rsid w:val="007658C5"/>
    <w:rsid w:val="00765CC1"/>
    <w:rsid w:val="00766343"/>
    <w:rsid w:val="00770F5D"/>
    <w:rsid w:val="0077225A"/>
    <w:rsid w:val="00773F54"/>
    <w:rsid w:val="00774053"/>
    <w:rsid w:val="0077425A"/>
    <w:rsid w:val="007742A7"/>
    <w:rsid w:val="00774430"/>
    <w:rsid w:val="007759F6"/>
    <w:rsid w:val="00776CC1"/>
    <w:rsid w:val="007801D7"/>
    <w:rsid w:val="007802BA"/>
    <w:rsid w:val="00780B6A"/>
    <w:rsid w:val="00781C37"/>
    <w:rsid w:val="00782218"/>
    <w:rsid w:val="0078227D"/>
    <w:rsid w:val="00783280"/>
    <w:rsid w:val="007833BB"/>
    <w:rsid w:val="00783556"/>
    <w:rsid w:val="00784980"/>
    <w:rsid w:val="00785498"/>
    <w:rsid w:val="0078578B"/>
    <w:rsid w:val="007861BE"/>
    <w:rsid w:val="00786E05"/>
    <w:rsid w:val="00787143"/>
    <w:rsid w:val="007903BB"/>
    <w:rsid w:val="007911C1"/>
    <w:rsid w:val="0079175F"/>
    <w:rsid w:val="007926B3"/>
    <w:rsid w:val="00792BE7"/>
    <w:rsid w:val="00792CC0"/>
    <w:rsid w:val="00792E8A"/>
    <w:rsid w:val="0079414B"/>
    <w:rsid w:val="0079514C"/>
    <w:rsid w:val="007954AA"/>
    <w:rsid w:val="007962C4"/>
    <w:rsid w:val="00796D1F"/>
    <w:rsid w:val="007970A0"/>
    <w:rsid w:val="007A033D"/>
    <w:rsid w:val="007A0DAB"/>
    <w:rsid w:val="007A371F"/>
    <w:rsid w:val="007A38FD"/>
    <w:rsid w:val="007A394B"/>
    <w:rsid w:val="007A5067"/>
    <w:rsid w:val="007A5B26"/>
    <w:rsid w:val="007A620C"/>
    <w:rsid w:val="007A6D5C"/>
    <w:rsid w:val="007A6F6C"/>
    <w:rsid w:val="007B06B8"/>
    <w:rsid w:val="007B0D53"/>
    <w:rsid w:val="007B2000"/>
    <w:rsid w:val="007B2DC9"/>
    <w:rsid w:val="007B43DE"/>
    <w:rsid w:val="007B45C6"/>
    <w:rsid w:val="007B45C9"/>
    <w:rsid w:val="007B46C6"/>
    <w:rsid w:val="007B484F"/>
    <w:rsid w:val="007B4E14"/>
    <w:rsid w:val="007B4FB1"/>
    <w:rsid w:val="007B5315"/>
    <w:rsid w:val="007B576A"/>
    <w:rsid w:val="007B587F"/>
    <w:rsid w:val="007B6179"/>
    <w:rsid w:val="007B7D57"/>
    <w:rsid w:val="007C06A8"/>
    <w:rsid w:val="007C0751"/>
    <w:rsid w:val="007C2045"/>
    <w:rsid w:val="007C2723"/>
    <w:rsid w:val="007C3387"/>
    <w:rsid w:val="007C36AA"/>
    <w:rsid w:val="007C3C43"/>
    <w:rsid w:val="007C47E6"/>
    <w:rsid w:val="007C5827"/>
    <w:rsid w:val="007C68C5"/>
    <w:rsid w:val="007C70A2"/>
    <w:rsid w:val="007C71E0"/>
    <w:rsid w:val="007C7640"/>
    <w:rsid w:val="007C79D3"/>
    <w:rsid w:val="007D03FB"/>
    <w:rsid w:val="007D2AF7"/>
    <w:rsid w:val="007D350B"/>
    <w:rsid w:val="007D367D"/>
    <w:rsid w:val="007D37D5"/>
    <w:rsid w:val="007D5614"/>
    <w:rsid w:val="007D5C8D"/>
    <w:rsid w:val="007D5CB3"/>
    <w:rsid w:val="007D643C"/>
    <w:rsid w:val="007D6A88"/>
    <w:rsid w:val="007D7AF5"/>
    <w:rsid w:val="007E00C6"/>
    <w:rsid w:val="007E021C"/>
    <w:rsid w:val="007E0E06"/>
    <w:rsid w:val="007E2D29"/>
    <w:rsid w:val="007E53E6"/>
    <w:rsid w:val="007E6291"/>
    <w:rsid w:val="007E7DE6"/>
    <w:rsid w:val="007F0E90"/>
    <w:rsid w:val="007F19B2"/>
    <w:rsid w:val="007F3435"/>
    <w:rsid w:val="007F3508"/>
    <w:rsid w:val="007F73B3"/>
    <w:rsid w:val="008000BC"/>
    <w:rsid w:val="00800217"/>
    <w:rsid w:val="0080142A"/>
    <w:rsid w:val="00801507"/>
    <w:rsid w:val="00802179"/>
    <w:rsid w:val="008025EE"/>
    <w:rsid w:val="00802BA4"/>
    <w:rsid w:val="00802C91"/>
    <w:rsid w:val="00802CD3"/>
    <w:rsid w:val="008035A0"/>
    <w:rsid w:val="008072F6"/>
    <w:rsid w:val="008107BB"/>
    <w:rsid w:val="008118DF"/>
    <w:rsid w:val="00811BE6"/>
    <w:rsid w:val="00812231"/>
    <w:rsid w:val="008135B6"/>
    <w:rsid w:val="00813827"/>
    <w:rsid w:val="00814AA7"/>
    <w:rsid w:val="0081711D"/>
    <w:rsid w:val="0081734E"/>
    <w:rsid w:val="00817746"/>
    <w:rsid w:val="00817AF8"/>
    <w:rsid w:val="00817B4E"/>
    <w:rsid w:val="00817F6D"/>
    <w:rsid w:val="00820B5A"/>
    <w:rsid w:val="008211E1"/>
    <w:rsid w:val="008231F1"/>
    <w:rsid w:val="0082331A"/>
    <w:rsid w:val="00823827"/>
    <w:rsid w:val="0082529D"/>
    <w:rsid w:val="0082552B"/>
    <w:rsid w:val="00825824"/>
    <w:rsid w:val="00826E41"/>
    <w:rsid w:val="008271D0"/>
    <w:rsid w:val="00827C09"/>
    <w:rsid w:val="00827D49"/>
    <w:rsid w:val="008301B1"/>
    <w:rsid w:val="008309A4"/>
    <w:rsid w:val="008333B9"/>
    <w:rsid w:val="00834416"/>
    <w:rsid w:val="00834613"/>
    <w:rsid w:val="00835947"/>
    <w:rsid w:val="00835BFC"/>
    <w:rsid w:val="0083651B"/>
    <w:rsid w:val="0083666A"/>
    <w:rsid w:val="008369E6"/>
    <w:rsid w:val="00840A0D"/>
    <w:rsid w:val="00840D63"/>
    <w:rsid w:val="00842915"/>
    <w:rsid w:val="00844EBA"/>
    <w:rsid w:val="0084543F"/>
    <w:rsid w:val="008464EE"/>
    <w:rsid w:val="00846608"/>
    <w:rsid w:val="00846775"/>
    <w:rsid w:val="008502C1"/>
    <w:rsid w:val="00850FFD"/>
    <w:rsid w:val="00851223"/>
    <w:rsid w:val="0085235B"/>
    <w:rsid w:val="00852551"/>
    <w:rsid w:val="00852A9F"/>
    <w:rsid w:val="0085496F"/>
    <w:rsid w:val="008549AC"/>
    <w:rsid w:val="00855D44"/>
    <w:rsid w:val="00855D9B"/>
    <w:rsid w:val="00856260"/>
    <w:rsid w:val="008569D0"/>
    <w:rsid w:val="0085707B"/>
    <w:rsid w:val="008577A9"/>
    <w:rsid w:val="00857943"/>
    <w:rsid w:val="0086095A"/>
    <w:rsid w:val="00863A51"/>
    <w:rsid w:val="00864FB1"/>
    <w:rsid w:val="008668D4"/>
    <w:rsid w:val="00867081"/>
    <w:rsid w:val="008670B7"/>
    <w:rsid w:val="0086712C"/>
    <w:rsid w:val="00867709"/>
    <w:rsid w:val="00867D51"/>
    <w:rsid w:val="00870D7E"/>
    <w:rsid w:val="00872336"/>
    <w:rsid w:val="00872496"/>
    <w:rsid w:val="008725EB"/>
    <w:rsid w:val="00872B2F"/>
    <w:rsid w:val="00873591"/>
    <w:rsid w:val="00874C6E"/>
    <w:rsid w:val="00874F68"/>
    <w:rsid w:val="00875866"/>
    <w:rsid w:val="008761AA"/>
    <w:rsid w:val="0087633A"/>
    <w:rsid w:val="00876416"/>
    <w:rsid w:val="00882375"/>
    <w:rsid w:val="00882C89"/>
    <w:rsid w:val="00882EDC"/>
    <w:rsid w:val="00885DCB"/>
    <w:rsid w:val="008871F7"/>
    <w:rsid w:val="00887772"/>
    <w:rsid w:val="0089034A"/>
    <w:rsid w:val="00890BED"/>
    <w:rsid w:val="00891903"/>
    <w:rsid w:val="00892BB0"/>
    <w:rsid w:val="00893728"/>
    <w:rsid w:val="00894883"/>
    <w:rsid w:val="00894E92"/>
    <w:rsid w:val="0089589B"/>
    <w:rsid w:val="00897CF4"/>
    <w:rsid w:val="008A032C"/>
    <w:rsid w:val="008A10ED"/>
    <w:rsid w:val="008A1F7C"/>
    <w:rsid w:val="008A27BE"/>
    <w:rsid w:val="008A28F9"/>
    <w:rsid w:val="008A36D4"/>
    <w:rsid w:val="008A4E22"/>
    <w:rsid w:val="008A5A3E"/>
    <w:rsid w:val="008A7A4E"/>
    <w:rsid w:val="008A7EF2"/>
    <w:rsid w:val="008B12A2"/>
    <w:rsid w:val="008B16B4"/>
    <w:rsid w:val="008B1919"/>
    <w:rsid w:val="008B2459"/>
    <w:rsid w:val="008B3809"/>
    <w:rsid w:val="008B3944"/>
    <w:rsid w:val="008B3B45"/>
    <w:rsid w:val="008B4697"/>
    <w:rsid w:val="008B5443"/>
    <w:rsid w:val="008B55A3"/>
    <w:rsid w:val="008B6376"/>
    <w:rsid w:val="008B7815"/>
    <w:rsid w:val="008B7B29"/>
    <w:rsid w:val="008B7B5B"/>
    <w:rsid w:val="008C0E94"/>
    <w:rsid w:val="008C2F14"/>
    <w:rsid w:val="008C48EE"/>
    <w:rsid w:val="008C5EBB"/>
    <w:rsid w:val="008C6035"/>
    <w:rsid w:val="008C6EC6"/>
    <w:rsid w:val="008C6FA5"/>
    <w:rsid w:val="008D21E6"/>
    <w:rsid w:val="008D310E"/>
    <w:rsid w:val="008D408A"/>
    <w:rsid w:val="008D5683"/>
    <w:rsid w:val="008D6141"/>
    <w:rsid w:val="008D681D"/>
    <w:rsid w:val="008D6983"/>
    <w:rsid w:val="008E111B"/>
    <w:rsid w:val="008E2CC0"/>
    <w:rsid w:val="008E40A8"/>
    <w:rsid w:val="008E48B5"/>
    <w:rsid w:val="008E68B9"/>
    <w:rsid w:val="008E69DD"/>
    <w:rsid w:val="008E73F3"/>
    <w:rsid w:val="008E76E7"/>
    <w:rsid w:val="008E7908"/>
    <w:rsid w:val="008F031D"/>
    <w:rsid w:val="008F1587"/>
    <w:rsid w:val="008F1784"/>
    <w:rsid w:val="008F1D53"/>
    <w:rsid w:val="008F3790"/>
    <w:rsid w:val="008F3A2F"/>
    <w:rsid w:val="008F4817"/>
    <w:rsid w:val="008F5703"/>
    <w:rsid w:val="008F60DA"/>
    <w:rsid w:val="008F6875"/>
    <w:rsid w:val="008F74DA"/>
    <w:rsid w:val="0090186C"/>
    <w:rsid w:val="009029CB"/>
    <w:rsid w:val="009039B0"/>
    <w:rsid w:val="00903B88"/>
    <w:rsid w:val="00904AF6"/>
    <w:rsid w:val="00905CE5"/>
    <w:rsid w:val="00910584"/>
    <w:rsid w:val="00910782"/>
    <w:rsid w:val="0091240B"/>
    <w:rsid w:val="0091437D"/>
    <w:rsid w:val="00914712"/>
    <w:rsid w:val="00914E78"/>
    <w:rsid w:val="0091510A"/>
    <w:rsid w:val="00915E16"/>
    <w:rsid w:val="00916B35"/>
    <w:rsid w:val="0092264A"/>
    <w:rsid w:val="00922BCB"/>
    <w:rsid w:val="00922BD1"/>
    <w:rsid w:val="00923949"/>
    <w:rsid w:val="00924BF7"/>
    <w:rsid w:val="00924C3A"/>
    <w:rsid w:val="009250C6"/>
    <w:rsid w:val="009252DF"/>
    <w:rsid w:val="009257B6"/>
    <w:rsid w:val="00926F61"/>
    <w:rsid w:val="009278E1"/>
    <w:rsid w:val="0093041A"/>
    <w:rsid w:val="00932D20"/>
    <w:rsid w:val="00933136"/>
    <w:rsid w:val="00933164"/>
    <w:rsid w:val="00933596"/>
    <w:rsid w:val="00933776"/>
    <w:rsid w:val="009347D4"/>
    <w:rsid w:val="00935729"/>
    <w:rsid w:val="0093673A"/>
    <w:rsid w:val="009368D5"/>
    <w:rsid w:val="00936B73"/>
    <w:rsid w:val="00937732"/>
    <w:rsid w:val="00940D29"/>
    <w:rsid w:val="00941013"/>
    <w:rsid w:val="00941EB9"/>
    <w:rsid w:val="00942B43"/>
    <w:rsid w:val="009444B9"/>
    <w:rsid w:val="00944F24"/>
    <w:rsid w:val="00945330"/>
    <w:rsid w:val="00946E6F"/>
    <w:rsid w:val="009472D5"/>
    <w:rsid w:val="009476EA"/>
    <w:rsid w:val="0094788D"/>
    <w:rsid w:val="00947AD7"/>
    <w:rsid w:val="00947B6C"/>
    <w:rsid w:val="009504A9"/>
    <w:rsid w:val="009523D8"/>
    <w:rsid w:val="00956730"/>
    <w:rsid w:val="00956FB4"/>
    <w:rsid w:val="0096251B"/>
    <w:rsid w:val="00966124"/>
    <w:rsid w:val="00967838"/>
    <w:rsid w:val="00967983"/>
    <w:rsid w:val="00967BDF"/>
    <w:rsid w:val="00972327"/>
    <w:rsid w:val="009734F5"/>
    <w:rsid w:val="00973C2F"/>
    <w:rsid w:val="0097492A"/>
    <w:rsid w:val="00975D84"/>
    <w:rsid w:val="00976A77"/>
    <w:rsid w:val="009777A6"/>
    <w:rsid w:val="00977D1A"/>
    <w:rsid w:val="00980489"/>
    <w:rsid w:val="009818FD"/>
    <w:rsid w:val="009843A6"/>
    <w:rsid w:val="00984EFC"/>
    <w:rsid w:val="009871D4"/>
    <w:rsid w:val="00990DFD"/>
    <w:rsid w:val="0099115B"/>
    <w:rsid w:val="009916C3"/>
    <w:rsid w:val="0099173F"/>
    <w:rsid w:val="00992C92"/>
    <w:rsid w:val="00993A89"/>
    <w:rsid w:val="00994158"/>
    <w:rsid w:val="009957A9"/>
    <w:rsid w:val="00995951"/>
    <w:rsid w:val="0099598E"/>
    <w:rsid w:val="009968BE"/>
    <w:rsid w:val="00997B7B"/>
    <w:rsid w:val="009A3233"/>
    <w:rsid w:val="009A42E6"/>
    <w:rsid w:val="009A436E"/>
    <w:rsid w:val="009A4683"/>
    <w:rsid w:val="009A516A"/>
    <w:rsid w:val="009B0B7E"/>
    <w:rsid w:val="009B12F2"/>
    <w:rsid w:val="009B2577"/>
    <w:rsid w:val="009B2F0C"/>
    <w:rsid w:val="009B3011"/>
    <w:rsid w:val="009B3C71"/>
    <w:rsid w:val="009B56F5"/>
    <w:rsid w:val="009B5C97"/>
    <w:rsid w:val="009B69F2"/>
    <w:rsid w:val="009C0430"/>
    <w:rsid w:val="009C14B8"/>
    <w:rsid w:val="009C1942"/>
    <w:rsid w:val="009C2D19"/>
    <w:rsid w:val="009C37F7"/>
    <w:rsid w:val="009C49D0"/>
    <w:rsid w:val="009C4D3E"/>
    <w:rsid w:val="009D14D2"/>
    <w:rsid w:val="009D1D6A"/>
    <w:rsid w:val="009D2557"/>
    <w:rsid w:val="009D25A9"/>
    <w:rsid w:val="009D25E5"/>
    <w:rsid w:val="009D2A37"/>
    <w:rsid w:val="009D2AFB"/>
    <w:rsid w:val="009D3BE4"/>
    <w:rsid w:val="009D3EB1"/>
    <w:rsid w:val="009D5551"/>
    <w:rsid w:val="009D56C8"/>
    <w:rsid w:val="009D61EF"/>
    <w:rsid w:val="009D791C"/>
    <w:rsid w:val="009D7DEC"/>
    <w:rsid w:val="009E0ACB"/>
    <w:rsid w:val="009E0F14"/>
    <w:rsid w:val="009E1983"/>
    <w:rsid w:val="009E332B"/>
    <w:rsid w:val="009E6A68"/>
    <w:rsid w:val="009E70B9"/>
    <w:rsid w:val="009E73EB"/>
    <w:rsid w:val="009E7CA9"/>
    <w:rsid w:val="009F10E6"/>
    <w:rsid w:val="009F198C"/>
    <w:rsid w:val="009F24B5"/>
    <w:rsid w:val="009F2595"/>
    <w:rsid w:val="009F2724"/>
    <w:rsid w:val="009F33D0"/>
    <w:rsid w:val="009F3AA3"/>
    <w:rsid w:val="009F40BF"/>
    <w:rsid w:val="009F4449"/>
    <w:rsid w:val="009F4473"/>
    <w:rsid w:val="009F4FB0"/>
    <w:rsid w:val="009F77F3"/>
    <w:rsid w:val="009F7DA5"/>
    <w:rsid w:val="00A00742"/>
    <w:rsid w:val="00A00EAA"/>
    <w:rsid w:val="00A02947"/>
    <w:rsid w:val="00A049C5"/>
    <w:rsid w:val="00A05302"/>
    <w:rsid w:val="00A058E8"/>
    <w:rsid w:val="00A05FCB"/>
    <w:rsid w:val="00A0791E"/>
    <w:rsid w:val="00A10888"/>
    <w:rsid w:val="00A119AE"/>
    <w:rsid w:val="00A120D2"/>
    <w:rsid w:val="00A1566E"/>
    <w:rsid w:val="00A15FCA"/>
    <w:rsid w:val="00A160B7"/>
    <w:rsid w:val="00A16920"/>
    <w:rsid w:val="00A16D03"/>
    <w:rsid w:val="00A172F1"/>
    <w:rsid w:val="00A20CFF"/>
    <w:rsid w:val="00A23112"/>
    <w:rsid w:val="00A23D44"/>
    <w:rsid w:val="00A24501"/>
    <w:rsid w:val="00A24921"/>
    <w:rsid w:val="00A250AE"/>
    <w:rsid w:val="00A25953"/>
    <w:rsid w:val="00A274C9"/>
    <w:rsid w:val="00A306E0"/>
    <w:rsid w:val="00A30F85"/>
    <w:rsid w:val="00A31DB3"/>
    <w:rsid w:val="00A32260"/>
    <w:rsid w:val="00A36772"/>
    <w:rsid w:val="00A36A4C"/>
    <w:rsid w:val="00A370BF"/>
    <w:rsid w:val="00A37327"/>
    <w:rsid w:val="00A373C5"/>
    <w:rsid w:val="00A4057D"/>
    <w:rsid w:val="00A40790"/>
    <w:rsid w:val="00A42D4B"/>
    <w:rsid w:val="00A436A9"/>
    <w:rsid w:val="00A43E0C"/>
    <w:rsid w:val="00A43FF2"/>
    <w:rsid w:val="00A44542"/>
    <w:rsid w:val="00A4576D"/>
    <w:rsid w:val="00A45E31"/>
    <w:rsid w:val="00A46E49"/>
    <w:rsid w:val="00A47176"/>
    <w:rsid w:val="00A500B3"/>
    <w:rsid w:val="00A51254"/>
    <w:rsid w:val="00A51C7E"/>
    <w:rsid w:val="00A520D7"/>
    <w:rsid w:val="00A52870"/>
    <w:rsid w:val="00A53926"/>
    <w:rsid w:val="00A53BD6"/>
    <w:rsid w:val="00A5578A"/>
    <w:rsid w:val="00A56F32"/>
    <w:rsid w:val="00A615F5"/>
    <w:rsid w:val="00A62157"/>
    <w:rsid w:val="00A62569"/>
    <w:rsid w:val="00A62B15"/>
    <w:rsid w:val="00A63722"/>
    <w:rsid w:val="00A63FB4"/>
    <w:rsid w:val="00A64971"/>
    <w:rsid w:val="00A64A0B"/>
    <w:rsid w:val="00A65E00"/>
    <w:rsid w:val="00A66806"/>
    <w:rsid w:val="00A7151A"/>
    <w:rsid w:val="00A72C81"/>
    <w:rsid w:val="00A72D93"/>
    <w:rsid w:val="00A73E1E"/>
    <w:rsid w:val="00A740E3"/>
    <w:rsid w:val="00A744F8"/>
    <w:rsid w:val="00A748E0"/>
    <w:rsid w:val="00A752A5"/>
    <w:rsid w:val="00A76D83"/>
    <w:rsid w:val="00A77051"/>
    <w:rsid w:val="00A80868"/>
    <w:rsid w:val="00A80A7A"/>
    <w:rsid w:val="00A818F2"/>
    <w:rsid w:val="00A83AF3"/>
    <w:rsid w:val="00A84106"/>
    <w:rsid w:val="00A844CB"/>
    <w:rsid w:val="00A84BF5"/>
    <w:rsid w:val="00A84FA9"/>
    <w:rsid w:val="00A85010"/>
    <w:rsid w:val="00A878FF"/>
    <w:rsid w:val="00A87DD6"/>
    <w:rsid w:val="00A87F00"/>
    <w:rsid w:val="00A933C7"/>
    <w:rsid w:val="00A949C5"/>
    <w:rsid w:val="00A95B55"/>
    <w:rsid w:val="00A96C7C"/>
    <w:rsid w:val="00AA0188"/>
    <w:rsid w:val="00AA033C"/>
    <w:rsid w:val="00AA163C"/>
    <w:rsid w:val="00AA2280"/>
    <w:rsid w:val="00AA2772"/>
    <w:rsid w:val="00AA347F"/>
    <w:rsid w:val="00AA3525"/>
    <w:rsid w:val="00AA5BC5"/>
    <w:rsid w:val="00AA5F43"/>
    <w:rsid w:val="00AA6CED"/>
    <w:rsid w:val="00AA791F"/>
    <w:rsid w:val="00AB091D"/>
    <w:rsid w:val="00AB0A89"/>
    <w:rsid w:val="00AB1983"/>
    <w:rsid w:val="00AB2461"/>
    <w:rsid w:val="00AB2C9E"/>
    <w:rsid w:val="00AB2EF8"/>
    <w:rsid w:val="00AB312E"/>
    <w:rsid w:val="00AB4C77"/>
    <w:rsid w:val="00AB70A9"/>
    <w:rsid w:val="00AC1027"/>
    <w:rsid w:val="00AC155E"/>
    <w:rsid w:val="00AC2421"/>
    <w:rsid w:val="00AC246A"/>
    <w:rsid w:val="00AC27C3"/>
    <w:rsid w:val="00AC2DC6"/>
    <w:rsid w:val="00AC40E0"/>
    <w:rsid w:val="00AC5C1D"/>
    <w:rsid w:val="00AC64BC"/>
    <w:rsid w:val="00AC7C29"/>
    <w:rsid w:val="00AD02B0"/>
    <w:rsid w:val="00AD3543"/>
    <w:rsid w:val="00AD3590"/>
    <w:rsid w:val="00AD51C7"/>
    <w:rsid w:val="00AD7A56"/>
    <w:rsid w:val="00AE0725"/>
    <w:rsid w:val="00AE19ED"/>
    <w:rsid w:val="00AE1B0B"/>
    <w:rsid w:val="00AE1D44"/>
    <w:rsid w:val="00AE326C"/>
    <w:rsid w:val="00AE32A4"/>
    <w:rsid w:val="00AE3F00"/>
    <w:rsid w:val="00AE4386"/>
    <w:rsid w:val="00AE46C3"/>
    <w:rsid w:val="00AE4CB3"/>
    <w:rsid w:val="00AE5B91"/>
    <w:rsid w:val="00AE6697"/>
    <w:rsid w:val="00AF06A7"/>
    <w:rsid w:val="00AF09BC"/>
    <w:rsid w:val="00AF131B"/>
    <w:rsid w:val="00AF141D"/>
    <w:rsid w:val="00AF1825"/>
    <w:rsid w:val="00AF31D2"/>
    <w:rsid w:val="00AF356F"/>
    <w:rsid w:val="00AF39AC"/>
    <w:rsid w:val="00AF3AC4"/>
    <w:rsid w:val="00B009D7"/>
    <w:rsid w:val="00B01D57"/>
    <w:rsid w:val="00B02375"/>
    <w:rsid w:val="00B02561"/>
    <w:rsid w:val="00B02A6E"/>
    <w:rsid w:val="00B04096"/>
    <w:rsid w:val="00B05490"/>
    <w:rsid w:val="00B05AA7"/>
    <w:rsid w:val="00B06804"/>
    <w:rsid w:val="00B07053"/>
    <w:rsid w:val="00B07AEB"/>
    <w:rsid w:val="00B07B6A"/>
    <w:rsid w:val="00B07EFA"/>
    <w:rsid w:val="00B07F93"/>
    <w:rsid w:val="00B11E9F"/>
    <w:rsid w:val="00B12C8E"/>
    <w:rsid w:val="00B12F1E"/>
    <w:rsid w:val="00B13C06"/>
    <w:rsid w:val="00B1411D"/>
    <w:rsid w:val="00B15093"/>
    <w:rsid w:val="00B154D7"/>
    <w:rsid w:val="00B15E2F"/>
    <w:rsid w:val="00B179DA"/>
    <w:rsid w:val="00B20FDC"/>
    <w:rsid w:val="00B22AC8"/>
    <w:rsid w:val="00B24295"/>
    <w:rsid w:val="00B24A14"/>
    <w:rsid w:val="00B24FED"/>
    <w:rsid w:val="00B2527F"/>
    <w:rsid w:val="00B265B3"/>
    <w:rsid w:val="00B30593"/>
    <w:rsid w:val="00B33596"/>
    <w:rsid w:val="00B34088"/>
    <w:rsid w:val="00B344B0"/>
    <w:rsid w:val="00B3585B"/>
    <w:rsid w:val="00B35B7D"/>
    <w:rsid w:val="00B36FC6"/>
    <w:rsid w:val="00B37352"/>
    <w:rsid w:val="00B40332"/>
    <w:rsid w:val="00B41748"/>
    <w:rsid w:val="00B4184B"/>
    <w:rsid w:val="00B448A3"/>
    <w:rsid w:val="00B450FD"/>
    <w:rsid w:val="00B4684C"/>
    <w:rsid w:val="00B478CA"/>
    <w:rsid w:val="00B50860"/>
    <w:rsid w:val="00B50D19"/>
    <w:rsid w:val="00B52411"/>
    <w:rsid w:val="00B524F9"/>
    <w:rsid w:val="00B528A4"/>
    <w:rsid w:val="00B53330"/>
    <w:rsid w:val="00B53AA0"/>
    <w:rsid w:val="00B54030"/>
    <w:rsid w:val="00B54F61"/>
    <w:rsid w:val="00B54F9B"/>
    <w:rsid w:val="00B55869"/>
    <w:rsid w:val="00B565EE"/>
    <w:rsid w:val="00B60588"/>
    <w:rsid w:val="00B63079"/>
    <w:rsid w:val="00B679E9"/>
    <w:rsid w:val="00B67A46"/>
    <w:rsid w:val="00B709FC"/>
    <w:rsid w:val="00B70EA1"/>
    <w:rsid w:val="00B7139F"/>
    <w:rsid w:val="00B721FA"/>
    <w:rsid w:val="00B72E6F"/>
    <w:rsid w:val="00B7372C"/>
    <w:rsid w:val="00B74CC9"/>
    <w:rsid w:val="00B766FC"/>
    <w:rsid w:val="00B76750"/>
    <w:rsid w:val="00B840D4"/>
    <w:rsid w:val="00B84EB8"/>
    <w:rsid w:val="00B851A1"/>
    <w:rsid w:val="00B85CDF"/>
    <w:rsid w:val="00B85E2D"/>
    <w:rsid w:val="00B877D0"/>
    <w:rsid w:val="00B901BA"/>
    <w:rsid w:val="00B92B64"/>
    <w:rsid w:val="00B93B33"/>
    <w:rsid w:val="00B9450E"/>
    <w:rsid w:val="00B96267"/>
    <w:rsid w:val="00B96A3A"/>
    <w:rsid w:val="00BA11DF"/>
    <w:rsid w:val="00BA12FC"/>
    <w:rsid w:val="00BA1540"/>
    <w:rsid w:val="00BA16F0"/>
    <w:rsid w:val="00BA2495"/>
    <w:rsid w:val="00BA30C1"/>
    <w:rsid w:val="00BA3FB1"/>
    <w:rsid w:val="00BA6E65"/>
    <w:rsid w:val="00BA75C3"/>
    <w:rsid w:val="00BA781C"/>
    <w:rsid w:val="00BB0B8A"/>
    <w:rsid w:val="00BB0E62"/>
    <w:rsid w:val="00BB1B4C"/>
    <w:rsid w:val="00BB27E6"/>
    <w:rsid w:val="00BB3877"/>
    <w:rsid w:val="00BB4DB6"/>
    <w:rsid w:val="00BB4DF0"/>
    <w:rsid w:val="00BB55EA"/>
    <w:rsid w:val="00BB7B4F"/>
    <w:rsid w:val="00BC0080"/>
    <w:rsid w:val="00BC09E8"/>
    <w:rsid w:val="00BC0D8E"/>
    <w:rsid w:val="00BC19AA"/>
    <w:rsid w:val="00BC19E8"/>
    <w:rsid w:val="00BC257C"/>
    <w:rsid w:val="00BC4340"/>
    <w:rsid w:val="00BC5FF4"/>
    <w:rsid w:val="00BC6A4E"/>
    <w:rsid w:val="00BC6BE5"/>
    <w:rsid w:val="00BC6E68"/>
    <w:rsid w:val="00BD0633"/>
    <w:rsid w:val="00BD160C"/>
    <w:rsid w:val="00BD17BF"/>
    <w:rsid w:val="00BD2576"/>
    <w:rsid w:val="00BD330C"/>
    <w:rsid w:val="00BD4F55"/>
    <w:rsid w:val="00BD55C7"/>
    <w:rsid w:val="00BD577C"/>
    <w:rsid w:val="00BD63E2"/>
    <w:rsid w:val="00BE038A"/>
    <w:rsid w:val="00BE0CD3"/>
    <w:rsid w:val="00BE0CFD"/>
    <w:rsid w:val="00BE28C6"/>
    <w:rsid w:val="00BE368E"/>
    <w:rsid w:val="00BF1E9F"/>
    <w:rsid w:val="00BF1FF9"/>
    <w:rsid w:val="00BF3605"/>
    <w:rsid w:val="00BF3985"/>
    <w:rsid w:val="00BF6B4D"/>
    <w:rsid w:val="00C01CBF"/>
    <w:rsid w:val="00C02348"/>
    <w:rsid w:val="00C04984"/>
    <w:rsid w:val="00C05866"/>
    <w:rsid w:val="00C05F3F"/>
    <w:rsid w:val="00C077A0"/>
    <w:rsid w:val="00C07B3B"/>
    <w:rsid w:val="00C10A64"/>
    <w:rsid w:val="00C11739"/>
    <w:rsid w:val="00C11994"/>
    <w:rsid w:val="00C12229"/>
    <w:rsid w:val="00C122DC"/>
    <w:rsid w:val="00C1279E"/>
    <w:rsid w:val="00C127ED"/>
    <w:rsid w:val="00C1527E"/>
    <w:rsid w:val="00C1543F"/>
    <w:rsid w:val="00C16349"/>
    <w:rsid w:val="00C165F3"/>
    <w:rsid w:val="00C16B12"/>
    <w:rsid w:val="00C1725F"/>
    <w:rsid w:val="00C17861"/>
    <w:rsid w:val="00C17E0D"/>
    <w:rsid w:val="00C17FA2"/>
    <w:rsid w:val="00C204DF"/>
    <w:rsid w:val="00C205B0"/>
    <w:rsid w:val="00C206B0"/>
    <w:rsid w:val="00C20ADF"/>
    <w:rsid w:val="00C20F6B"/>
    <w:rsid w:val="00C219AC"/>
    <w:rsid w:val="00C2248D"/>
    <w:rsid w:val="00C22E06"/>
    <w:rsid w:val="00C24F81"/>
    <w:rsid w:val="00C259F4"/>
    <w:rsid w:val="00C25ED4"/>
    <w:rsid w:val="00C2613B"/>
    <w:rsid w:val="00C30A89"/>
    <w:rsid w:val="00C3142E"/>
    <w:rsid w:val="00C31501"/>
    <w:rsid w:val="00C317C3"/>
    <w:rsid w:val="00C3521B"/>
    <w:rsid w:val="00C356D3"/>
    <w:rsid w:val="00C357CB"/>
    <w:rsid w:val="00C35BA7"/>
    <w:rsid w:val="00C37097"/>
    <w:rsid w:val="00C37A36"/>
    <w:rsid w:val="00C40BEA"/>
    <w:rsid w:val="00C41E3F"/>
    <w:rsid w:val="00C4289A"/>
    <w:rsid w:val="00C45818"/>
    <w:rsid w:val="00C463A3"/>
    <w:rsid w:val="00C47360"/>
    <w:rsid w:val="00C47402"/>
    <w:rsid w:val="00C47E07"/>
    <w:rsid w:val="00C505C8"/>
    <w:rsid w:val="00C50745"/>
    <w:rsid w:val="00C5082F"/>
    <w:rsid w:val="00C50F32"/>
    <w:rsid w:val="00C51274"/>
    <w:rsid w:val="00C51DA6"/>
    <w:rsid w:val="00C53E4D"/>
    <w:rsid w:val="00C558C9"/>
    <w:rsid w:val="00C55A75"/>
    <w:rsid w:val="00C56716"/>
    <w:rsid w:val="00C57E11"/>
    <w:rsid w:val="00C60134"/>
    <w:rsid w:val="00C60770"/>
    <w:rsid w:val="00C60C3B"/>
    <w:rsid w:val="00C65A5E"/>
    <w:rsid w:val="00C67543"/>
    <w:rsid w:val="00C70D5B"/>
    <w:rsid w:val="00C72F36"/>
    <w:rsid w:val="00C736B3"/>
    <w:rsid w:val="00C74B96"/>
    <w:rsid w:val="00C75083"/>
    <w:rsid w:val="00C753CD"/>
    <w:rsid w:val="00C759BB"/>
    <w:rsid w:val="00C75BB9"/>
    <w:rsid w:val="00C75D24"/>
    <w:rsid w:val="00C7663D"/>
    <w:rsid w:val="00C76D56"/>
    <w:rsid w:val="00C80949"/>
    <w:rsid w:val="00C80F9B"/>
    <w:rsid w:val="00C81184"/>
    <w:rsid w:val="00C814D1"/>
    <w:rsid w:val="00C819F8"/>
    <w:rsid w:val="00C82028"/>
    <w:rsid w:val="00C82118"/>
    <w:rsid w:val="00C82E8F"/>
    <w:rsid w:val="00C85663"/>
    <w:rsid w:val="00C85A12"/>
    <w:rsid w:val="00C86149"/>
    <w:rsid w:val="00C8659D"/>
    <w:rsid w:val="00C8736E"/>
    <w:rsid w:val="00C90667"/>
    <w:rsid w:val="00C91424"/>
    <w:rsid w:val="00C925E8"/>
    <w:rsid w:val="00C92CBC"/>
    <w:rsid w:val="00C92FBB"/>
    <w:rsid w:val="00C93CE3"/>
    <w:rsid w:val="00C94759"/>
    <w:rsid w:val="00C95250"/>
    <w:rsid w:val="00C95449"/>
    <w:rsid w:val="00C95D05"/>
    <w:rsid w:val="00CA061C"/>
    <w:rsid w:val="00CA1A42"/>
    <w:rsid w:val="00CA38E4"/>
    <w:rsid w:val="00CA5557"/>
    <w:rsid w:val="00CA7696"/>
    <w:rsid w:val="00CA779A"/>
    <w:rsid w:val="00CB208F"/>
    <w:rsid w:val="00CB2DC7"/>
    <w:rsid w:val="00CB36C7"/>
    <w:rsid w:val="00CB50EF"/>
    <w:rsid w:val="00CB5B2F"/>
    <w:rsid w:val="00CB6017"/>
    <w:rsid w:val="00CC25D0"/>
    <w:rsid w:val="00CC52BA"/>
    <w:rsid w:val="00CC6ADE"/>
    <w:rsid w:val="00CC70CA"/>
    <w:rsid w:val="00CC7CF8"/>
    <w:rsid w:val="00CC7E55"/>
    <w:rsid w:val="00CD0292"/>
    <w:rsid w:val="00CD1A46"/>
    <w:rsid w:val="00CD1D95"/>
    <w:rsid w:val="00CD1F8D"/>
    <w:rsid w:val="00CD36BB"/>
    <w:rsid w:val="00CD3DCD"/>
    <w:rsid w:val="00CD51B8"/>
    <w:rsid w:val="00CD6DFB"/>
    <w:rsid w:val="00CE187C"/>
    <w:rsid w:val="00CE40A0"/>
    <w:rsid w:val="00CE49AC"/>
    <w:rsid w:val="00CE4B69"/>
    <w:rsid w:val="00CE6ACE"/>
    <w:rsid w:val="00CF2547"/>
    <w:rsid w:val="00CF4B98"/>
    <w:rsid w:val="00CF55FF"/>
    <w:rsid w:val="00CF7DB7"/>
    <w:rsid w:val="00D04F26"/>
    <w:rsid w:val="00D05FF5"/>
    <w:rsid w:val="00D06234"/>
    <w:rsid w:val="00D06EB0"/>
    <w:rsid w:val="00D10CCB"/>
    <w:rsid w:val="00D12F52"/>
    <w:rsid w:val="00D136BD"/>
    <w:rsid w:val="00D13880"/>
    <w:rsid w:val="00D14F53"/>
    <w:rsid w:val="00D16511"/>
    <w:rsid w:val="00D17483"/>
    <w:rsid w:val="00D20315"/>
    <w:rsid w:val="00D22220"/>
    <w:rsid w:val="00D22B3E"/>
    <w:rsid w:val="00D22EE6"/>
    <w:rsid w:val="00D23719"/>
    <w:rsid w:val="00D239F8"/>
    <w:rsid w:val="00D2635C"/>
    <w:rsid w:val="00D279D5"/>
    <w:rsid w:val="00D27E6A"/>
    <w:rsid w:val="00D30325"/>
    <w:rsid w:val="00D304E9"/>
    <w:rsid w:val="00D30B71"/>
    <w:rsid w:val="00D31341"/>
    <w:rsid w:val="00D3182F"/>
    <w:rsid w:val="00D33049"/>
    <w:rsid w:val="00D33336"/>
    <w:rsid w:val="00D34186"/>
    <w:rsid w:val="00D36CBA"/>
    <w:rsid w:val="00D401F1"/>
    <w:rsid w:val="00D4046B"/>
    <w:rsid w:val="00D41864"/>
    <w:rsid w:val="00D418E0"/>
    <w:rsid w:val="00D433E2"/>
    <w:rsid w:val="00D44228"/>
    <w:rsid w:val="00D44DA3"/>
    <w:rsid w:val="00D45FBF"/>
    <w:rsid w:val="00D46857"/>
    <w:rsid w:val="00D523EE"/>
    <w:rsid w:val="00D5259F"/>
    <w:rsid w:val="00D52CE1"/>
    <w:rsid w:val="00D53B37"/>
    <w:rsid w:val="00D543E9"/>
    <w:rsid w:val="00D551F2"/>
    <w:rsid w:val="00D55A52"/>
    <w:rsid w:val="00D55B83"/>
    <w:rsid w:val="00D56231"/>
    <w:rsid w:val="00D5697C"/>
    <w:rsid w:val="00D57526"/>
    <w:rsid w:val="00D611FC"/>
    <w:rsid w:val="00D61CBF"/>
    <w:rsid w:val="00D61F0C"/>
    <w:rsid w:val="00D63E47"/>
    <w:rsid w:val="00D65B32"/>
    <w:rsid w:val="00D65F0C"/>
    <w:rsid w:val="00D66616"/>
    <w:rsid w:val="00D7045F"/>
    <w:rsid w:val="00D7046A"/>
    <w:rsid w:val="00D710AB"/>
    <w:rsid w:val="00D72751"/>
    <w:rsid w:val="00D72867"/>
    <w:rsid w:val="00D7453B"/>
    <w:rsid w:val="00D74B25"/>
    <w:rsid w:val="00D77313"/>
    <w:rsid w:val="00D81948"/>
    <w:rsid w:val="00D81A8F"/>
    <w:rsid w:val="00D83258"/>
    <w:rsid w:val="00D837E0"/>
    <w:rsid w:val="00D84923"/>
    <w:rsid w:val="00D855CF"/>
    <w:rsid w:val="00D8591B"/>
    <w:rsid w:val="00D86451"/>
    <w:rsid w:val="00D871BC"/>
    <w:rsid w:val="00D87BE1"/>
    <w:rsid w:val="00D87CED"/>
    <w:rsid w:val="00D907C9"/>
    <w:rsid w:val="00D91D5F"/>
    <w:rsid w:val="00D93754"/>
    <w:rsid w:val="00D93878"/>
    <w:rsid w:val="00D93CBA"/>
    <w:rsid w:val="00D94E84"/>
    <w:rsid w:val="00D952B0"/>
    <w:rsid w:val="00D954D4"/>
    <w:rsid w:val="00D95AC3"/>
    <w:rsid w:val="00D961E7"/>
    <w:rsid w:val="00D96374"/>
    <w:rsid w:val="00D97CA9"/>
    <w:rsid w:val="00D97F1E"/>
    <w:rsid w:val="00DA14E0"/>
    <w:rsid w:val="00DA190A"/>
    <w:rsid w:val="00DA1DAC"/>
    <w:rsid w:val="00DA2555"/>
    <w:rsid w:val="00DA2739"/>
    <w:rsid w:val="00DA29D8"/>
    <w:rsid w:val="00DA458B"/>
    <w:rsid w:val="00DA5678"/>
    <w:rsid w:val="00DA75AA"/>
    <w:rsid w:val="00DA7DF9"/>
    <w:rsid w:val="00DB017A"/>
    <w:rsid w:val="00DB2F12"/>
    <w:rsid w:val="00DB4286"/>
    <w:rsid w:val="00DB4960"/>
    <w:rsid w:val="00DB519D"/>
    <w:rsid w:val="00DB523C"/>
    <w:rsid w:val="00DB5968"/>
    <w:rsid w:val="00DB599E"/>
    <w:rsid w:val="00DB6DEF"/>
    <w:rsid w:val="00DB76EC"/>
    <w:rsid w:val="00DC0C35"/>
    <w:rsid w:val="00DC1652"/>
    <w:rsid w:val="00DC2842"/>
    <w:rsid w:val="00DC3647"/>
    <w:rsid w:val="00DC41CA"/>
    <w:rsid w:val="00DC6196"/>
    <w:rsid w:val="00DC6325"/>
    <w:rsid w:val="00DC65AF"/>
    <w:rsid w:val="00DD02C9"/>
    <w:rsid w:val="00DD0946"/>
    <w:rsid w:val="00DD49D4"/>
    <w:rsid w:val="00DD4C5F"/>
    <w:rsid w:val="00DD6531"/>
    <w:rsid w:val="00DD6DFF"/>
    <w:rsid w:val="00DE09F3"/>
    <w:rsid w:val="00DE0A54"/>
    <w:rsid w:val="00DE0D54"/>
    <w:rsid w:val="00DE1E48"/>
    <w:rsid w:val="00DE25B2"/>
    <w:rsid w:val="00DE358A"/>
    <w:rsid w:val="00DE75FC"/>
    <w:rsid w:val="00DE7951"/>
    <w:rsid w:val="00DE7B33"/>
    <w:rsid w:val="00DF0E40"/>
    <w:rsid w:val="00DF2061"/>
    <w:rsid w:val="00DF273D"/>
    <w:rsid w:val="00DF33D1"/>
    <w:rsid w:val="00DF3ADA"/>
    <w:rsid w:val="00DF466E"/>
    <w:rsid w:val="00DF5623"/>
    <w:rsid w:val="00DF5692"/>
    <w:rsid w:val="00DF6985"/>
    <w:rsid w:val="00DF7DFC"/>
    <w:rsid w:val="00E00142"/>
    <w:rsid w:val="00E01639"/>
    <w:rsid w:val="00E01BF6"/>
    <w:rsid w:val="00E01CF9"/>
    <w:rsid w:val="00E02607"/>
    <w:rsid w:val="00E02A99"/>
    <w:rsid w:val="00E03F92"/>
    <w:rsid w:val="00E04833"/>
    <w:rsid w:val="00E0533E"/>
    <w:rsid w:val="00E07A88"/>
    <w:rsid w:val="00E1073B"/>
    <w:rsid w:val="00E11056"/>
    <w:rsid w:val="00E122E8"/>
    <w:rsid w:val="00E12AC5"/>
    <w:rsid w:val="00E132B8"/>
    <w:rsid w:val="00E14E1E"/>
    <w:rsid w:val="00E1501F"/>
    <w:rsid w:val="00E2021B"/>
    <w:rsid w:val="00E20346"/>
    <w:rsid w:val="00E20BA8"/>
    <w:rsid w:val="00E22844"/>
    <w:rsid w:val="00E23025"/>
    <w:rsid w:val="00E230F4"/>
    <w:rsid w:val="00E26481"/>
    <w:rsid w:val="00E26798"/>
    <w:rsid w:val="00E26CE3"/>
    <w:rsid w:val="00E30504"/>
    <w:rsid w:val="00E30EE5"/>
    <w:rsid w:val="00E32D65"/>
    <w:rsid w:val="00E335B6"/>
    <w:rsid w:val="00E35447"/>
    <w:rsid w:val="00E36CF9"/>
    <w:rsid w:val="00E40626"/>
    <w:rsid w:val="00E40C9B"/>
    <w:rsid w:val="00E412C5"/>
    <w:rsid w:val="00E41F55"/>
    <w:rsid w:val="00E42051"/>
    <w:rsid w:val="00E425BB"/>
    <w:rsid w:val="00E426FE"/>
    <w:rsid w:val="00E453D9"/>
    <w:rsid w:val="00E45453"/>
    <w:rsid w:val="00E45C2E"/>
    <w:rsid w:val="00E51190"/>
    <w:rsid w:val="00E522F5"/>
    <w:rsid w:val="00E531D9"/>
    <w:rsid w:val="00E55694"/>
    <w:rsid w:val="00E55C9F"/>
    <w:rsid w:val="00E55EAD"/>
    <w:rsid w:val="00E5725A"/>
    <w:rsid w:val="00E57B82"/>
    <w:rsid w:val="00E610E5"/>
    <w:rsid w:val="00E62478"/>
    <w:rsid w:val="00E629C0"/>
    <w:rsid w:val="00E65254"/>
    <w:rsid w:val="00E65839"/>
    <w:rsid w:val="00E66359"/>
    <w:rsid w:val="00E66E1D"/>
    <w:rsid w:val="00E671A4"/>
    <w:rsid w:val="00E67487"/>
    <w:rsid w:val="00E7179D"/>
    <w:rsid w:val="00E72C51"/>
    <w:rsid w:val="00E72FF2"/>
    <w:rsid w:val="00E73CBC"/>
    <w:rsid w:val="00E73E5E"/>
    <w:rsid w:val="00E75808"/>
    <w:rsid w:val="00E77DCA"/>
    <w:rsid w:val="00E80D9D"/>
    <w:rsid w:val="00E81BF9"/>
    <w:rsid w:val="00E83B66"/>
    <w:rsid w:val="00E849AF"/>
    <w:rsid w:val="00E84CCB"/>
    <w:rsid w:val="00E86954"/>
    <w:rsid w:val="00E86F46"/>
    <w:rsid w:val="00E879F1"/>
    <w:rsid w:val="00E9086A"/>
    <w:rsid w:val="00E911FC"/>
    <w:rsid w:val="00E9168A"/>
    <w:rsid w:val="00E91C71"/>
    <w:rsid w:val="00E92269"/>
    <w:rsid w:val="00E9355C"/>
    <w:rsid w:val="00E93D94"/>
    <w:rsid w:val="00E9447C"/>
    <w:rsid w:val="00E94693"/>
    <w:rsid w:val="00E950D0"/>
    <w:rsid w:val="00E95A95"/>
    <w:rsid w:val="00E9631D"/>
    <w:rsid w:val="00E96352"/>
    <w:rsid w:val="00EA1D14"/>
    <w:rsid w:val="00EA30EC"/>
    <w:rsid w:val="00EA3498"/>
    <w:rsid w:val="00EA34DC"/>
    <w:rsid w:val="00EA41E3"/>
    <w:rsid w:val="00EA45A7"/>
    <w:rsid w:val="00EA4D3F"/>
    <w:rsid w:val="00EA56B5"/>
    <w:rsid w:val="00EA6CA1"/>
    <w:rsid w:val="00EB04A4"/>
    <w:rsid w:val="00EB0AFD"/>
    <w:rsid w:val="00EB0F56"/>
    <w:rsid w:val="00EB152D"/>
    <w:rsid w:val="00EB193B"/>
    <w:rsid w:val="00EB1F75"/>
    <w:rsid w:val="00EB2BA4"/>
    <w:rsid w:val="00EB3318"/>
    <w:rsid w:val="00EB3CC9"/>
    <w:rsid w:val="00EB47E3"/>
    <w:rsid w:val="00EB6CD8"/>
    <w:rsid w:val="00EB7517"/>
    <w:rsid w:val="00EB7A0D"/>
    <w:rsid w:val="00EC1A76"/>
    <w:rsid w:val="00EC1F4A"/>
    <w:rsid w:val="00EC342A"/>
    <w:rsid w:val="00ED0FE8"/>
    <w:rsid w:val="00ED1042"/>
    <w:rsid w:val="00ED148E"/>
    <w:rsid w:val="00ED2E31"/>
    <w:rsid w:val="00ED2FD0"/>
    <w:rsid w:val="00ED6D43"/>
    <w:rsid w:val="00ED74AE"/>
    <w:rsid w:val="00ED7849"/>
    <w:rsid w:val="00EE03B5"/>
    <w:rsid w:val="00EE057C"/>
    <w:rsid w:val="00EE0EC6"/>
    <w:rsid w:val="00EE1676"/>
    <w:rsid w:val="00EE3DC3"/>
    <w:rsid w:val="00EE4252"/>
    <w:rsid w:val="00EE4C07"/>
    <w:rsid w:val="00EE4CBD"/>
    <w:rsid w:val="00EE4DEE"/>
    <w:rsid w:val="00EE5218"/>
    <w:rsid w:val="00EE6BDC"/>
    <w:rsid w:val="00EE6FC7"/>
    <w:rsid w:val="00EE7A0C"/>
    <w:rsid w:val="00EF06B5"/>
    <w:rsid w:val="00EF19FB"/>
    <w:rsid w:val="00EF2911"/>
    <w:rsid w:val="00EF3BD6"/>
    <w:rsid w:val="00EF58E7"/>
    <w:rsid w:val="00EF5A2F"/>
    <w:rsid w:val="00EF70EA"/>
    <w:rsid w:val="00F00466"/>
    <w:rsid w:val="00F01CD4"/>
    <w:rsid w:val="00F02967"/>
    <w:rsid w:val="00F04602"/>
    <w:rsid w:val="00F04C09"/>
    <w:rsid w:val="00F057AB"/>
    <w:rsid w:val="00F06B70"/>
    <w:rsid w:val="00F07554"/>
    <w:rsid w:val="00F07B70"/>
    <w:rsid w:val="00F127A6"/>
    <w:rsid w:val="00F127DF"/>
    <w:rsid w:val="00F12A0B"/>
    <w:rsid w:val="00F1441E"/>
    <w:rsid w:val="00F15496"/>
    <w:rsid w:val="00F15A03"/>
    <w:rsid w:val="00F15BE1"/>
    <w:rsid w:val="00F1620C"/>
    <w:rsid w:val="00F205D9"/>
    <w:rsid w:val="00F24085"/>
    <w:rsid w:val="00F2428C"/>
    <w:rsid w:val="00F248D6"/>
    <w:rsid w:val="00F24D9B"/>
    <w:rsid w:val="00F2569A"/>
    <w:rsid w:val="00F25AFE"/>
    <w:rsid w:val="00F2781A"/>
    <w:rsid w:val="00F306F5"/>
    <w:rsid w:val="00F30F3C"/>
    <w:rsid w:val="00F316C4"/>
    <w:rsid w:val="00F329C1"/>
    <w:rsid w:val="00F3311B"/>
    <w:rsid w:val="00F33BA2"/>
    <w:rsid w:val="00F33C3E"/>
    <w:rsid w:val="00F34479"/>
    <w:rsid w:val="00F40A9F"/>
    <w:rsid w:val="00F42062"/>
    <w:rsid w:val="00F420CB"/>
    <w:rsid w:val="00F424A7"/>
    <w:rsid w:val="00F433E4"/>
    <w:rsid w:val="00F438CF"/>
    <w:rsid w:val="00F43AF6"/>
    <w:rsid w:val="00F43B09"/>
    <w:rsid w:val="00F446C4"/>
    <w:rsid w:val="00F44BE4"/>
    <w:rsid w:val="00F45A35"/>
    <w:rsid w:val="00F46522"/>
    <w:rsid w:val="00F465BC"/>
    <w:rsid w:val="00F46A95"/>
    <w:rsid w:val="00F472C5"/>
    <w:rsid w:val="00F477C5"/>
    <w:rsid w:val="00F507EA"/>
    <w:rsid w:val="00F51F02"/>
    <w:rsid w:val="00F52AF6"/>
    <w:rsid w:val="00F5370D"/>
    <w:rsid w:val="00F53AC7"/>
    <w:rsid w:val="00F54518"/>
    <w:rsid w:val="00F55679"/>
    <w:rsid w:val="00F55BD3"/>
    <w:rsid w:val="00F55FBB"/>
    <w:rsid w:val="00F56C3C"/>
    <w:rsid w:val="00F57551"/>
    <w:rsid w:val="00F60D35"/>
    <w:rsid w:val="00F610D3"/>
    <w:rsid w:val="00F62912"/>
    <w:rsid w:val="00F63266"/>
    <w:rsid w:val="00F64228"/>
    <w:rsid w:val="00F645A0"/>
    <w:rsid w:val="00F6509C"/>
    <w:rsid w:val="00F713F2"/>
    <w:rsid w:val="00F718C2"/>
    <w:rsid w:val="00F7216D"/>
    <w:rsid w:val="00F72CE0"/>
    <w:rsid w:val="00F72D5B"/>
    <w:rsid w:val="00F742A8"/>
    <w:rsid w:val="00F743A5"/>
    <w:rsid w:val="00F7779B"/>
    <w:rsid w:val="00F77C5B"/>
    <w:rsid w:val="00F80116"/>
    <w:rsid w:val="00F8020A"/>
    <w:rsid w:val="00F81234"/>
    <w:rsid w:val="00F8155B"/>
    <w:rsid w:val="00F81D87"/>
    <w:rsid w:val="00F8255E"/>
    <w:rsid w:val="00F82640"/>
    <w:rsid w:val="00F842D1"/>
    <w:rsid w:val="00F846BC"/>
    <w:rsid w:val="00F855BB"/>
    <w:rsid w:val="00F90460"/>
    <w:rsid w:val="00F92D08"/>
    <w:rsid w:val="00F942E4"/>
    <w:rsid w:val="00F94684"/>
    <w:rsid w:val="00F948C4"/>
    <w:rsid w:val="00F94A58"/>
    <w:rsid w:val="00F961F7"/>
    <w:rsid w:val="00F96A07"/>
    <w:rsid w:val="00F97314"/>
    <w:rsid w:val="00FA03F9"/>
    <w:rsid w:val="00FA1D1A"/>
    <w:rsid w:val="00FA2CFA"/>
    <w:rsid w:val="00FA3257"/>
    <w:rsid w:val="00FA611A"/>
    <w:rsid w:val="00FA6753"/>
    <w:rsid w:val="00FA68E4"/>
    <w:rsid w:val="00FA7101"/>
    <w:rsid w:val="00FB03CE"/>
    <w:rsid w:val="00FB0793"/>
    <w:rsid w:val="00FB0E0C"/>
    <w:rsid w:val="00FB1494"/>
    <w:rsid w:val="00FB2F25"/>
    <w:rsid w:val="00FB3000"/>
    <w:rsid w:val="00FB3068"/>
    <w:rsid w:val="00FB5F4A"/>
    <w:rsid w:val="00FB68BE"/>
    <w:rsid w:val="00FB69D3"/>
    <w:rsid w:val="00FB6BE7"/>
    <w:rsid w:val="00FB79D8"/>
    <w:rsid w:val="00FC0811"/>
    <w:rsid w:val="00FC43B7"/>
    <w:rsid w:val="00FC45CC"/>
    <w:rsid w:val="00FC6208"/>
    <w:rsid w:val="00FC65EB"/>
    <w:rsid w:val="00FC6D98"/>
    <w:rsid w:val="00FC78F5"/>
    <w:rsid w:val="00FD1673"/>
    <w:rsid w:val="00FD1DEA"/>
    <w:rsid w:val="00FD2C14"/>
    <w:rsid w:val="00FD2FB5"/>
    <w:rsid w:val="00FD3961"/>
    <w:rsid w:val="00FD3A33"/>
    <w:rsid w:val="00FD3C98"/>
    <w:rsid w:val="00FD3D75"/>
    <w:rsid w:val="00FD4427"/>
    <w:rsid w:val="00FD45F1"/>
    <w:rsid w:val="00FD4DA5"/>
    <w:rsid w:val="00FD64C8"/>
    <w:rsid w:val="00FD78CB"/>
    <w:rsid w:val="00FE1D7E"/>
    <w:rsid w:val="00FE1FEE"/>
    <w:rsid w:val="00FE226D"/>
    <w:rsid w:val="00FE2C04"/>
    <w:rsid w:val="00FE4266"/>
    <w:rsid w:val="00FF0A71"/>
    <w:rsid w:val="00FF0BFE"/>
    <w:rsid w:val="00FF0E71"/>
    <w:rsid w:val="00FF2253"/>
    <w:rsid w:val="00FF257B"/>
    <w:rsid w:val="00FF2D3E"/>
    <w:rsid w:val="00FF3A78"/>
    <w:rsid w:val="00FF3ADD"/>
    <w:rsid w:val="00FF5250"/>
    <w:rsid w:val="00FF5ABD"/>
    <w:rsid w:val="00FF6538"/>
    <w:rsid w:val="00FF6A47"/>
    <w:rsid w:val="00FF6B37"/>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3E"/>
  </w:style>
  <w:style w:type="paragraph" w:styleId="Heading1">
    <w:name w:val="heading 1"/>
    <w:basedOn w:val="Normal"/>
    <w:next w:val="Normal"/>
    <w:link w:val="Heading1Char"/>
    <w:uiPriority w:val="9"/>
    <w:qFormat/>
    <w:rsid w:val="00CB36C7"/>
    <w:pPr>
      <w:keepNext/>
      <w:keepLines/>
      <w:numPr>
        <w:numId w:val="3"/>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3"/>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3"/>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DC0C35"/>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DC0C35"/>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2"/>
      </w:numPr>
    </w:pPr>
  </w:style>
  <w:style w:type="numbering" w:customStyle="1" w:styleId="Style1">
    <w:name w:val="Style1"/>
    <w:uiPriority w:val="99"/>
    <w:rsid w:val="007962C4"/>
    <w:pPr>
      <w:numPr>
        <w:numId w:val="1"/>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4116CE"/>
    <w:pPr>
      <w:tabs>
        <w:tab w:val="left" w:pos="880"/>
        <w:tab w:val="right" w:leader="dot" w:pos="9350"/>
      </w:tabs>
      <w:spacing w:after="100"/>
      <w:ind w:left="240"/>
    </w:pPr>
  </w:style>
  <w:style w:type="paragraph" w:styleId="TOC1">
    <w:name w:val="toc 1"/>
    <w:basedOn w:val="Normal"/>
    <w:next w:val="Normal"/>
    <w:autoRedefine/>
    <w:uiPriority w:val="39"/>
    <w:unhideWhenUsed/>
    <w:rsid w:val="000C5395"/>
    <w:pPr>
      <w:tabs>
        <w:tab w:val="left" w:pos="1760"/>
        <w:tab w:val="right" w:leader="dot" w:pos="9350"/>
      </w:tabs>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8A4E22"/>
    <w:pPr>
      <w:spacing w:after="0"/>
      <w:outlineLvl w:val="9"/>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4"/>
      </w:numPr>
      <w:ind w:left="360"/>
    </w:pPr>
    <w:rPr>
      <w:b/>
      <w:bCs/>
      <w:sz w:val="32"/>
      <w:szCs w:val="32"/>
    </w:rPr>
  </w:style>
  <w:style w:type="paragraph" w:customStyle="1" w:styleId="SummaryHeading3">
    <w:name w:val="Summary Heading 3"/>
    <w:basedOn w:val="Normal"/>
    <w:qFormat/>
    <w:rsid w:val="00BC0080"/>
    <w:pPr>
      <w:numPr>
        <w:ilvl w:val="2"/>
        <w:numId w:val="4"/>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F694D"/>
    <w:pPr>
      <w:spacing w:before="30" w:after="30"/>
    </w:pPr>
    <w:rPr>
      <w:rFonts w:cs="Arial"/>
      <w:sz w:val="20"/>
    </w:rPr>
  </w:style>
  <w:style w:type="paragraph" w:customStyle="1" w:styleId="TableHeading">
    <w:name w:val="Table Heading"/>
    <w:basedOn w:val="Normal"/>
    <w:rsid w:val="002F694D"/>
    <w:pPr>
      <w:spacing w:before="30" w:after="30"/>
    </w:pPr>
    <w:rPr>
      <w:rFonts w:cs="Arial"/>
      <w:b/>
      <w:bCs/>
      <w:sz w:val="20"/>
    </w:rPr>
  </w:style>
  <w:style w:type="paragraph" w:customStyle="1" w:styleId="TableTitle">
    <w:name w:val="Table Title"/>
    <w:basedOn w:val="Caption"/>
    <w:rsid w:val="0099598E"/>
  </w:style>
  <w:style w:type="paragraph" w:customStyle="1" w:styleId="Citation">
    <w:name w:val="Citation"/>
    <w:basedOn w:val="Normal"/>
    <w:rsid w:val="0099598E"/>
    <w:pPr>
      <w:ind w:left="720" w:hanging="720"/>
    </w:pPr>
  </w:style>
  <w:style w:type="paragraph" w:styleId="Bibliography">
    <w:name w:val="Bibliography"/>
    <w:basedOn w:val="Normal"/>
    <w:next w:val="Normal"/>
    <w:uiPriority w:val="37"/>
    <w:unhideWhenUsed/>
    <w:rsid w:val="0099598E"/>
    <w:pPr>
      <w:ind w:left="720" w:hanging="720"/>
    </w:pPr>
  </w:style>
  <w:style w:type="paragraph" w:customStyle="1" w:styleId="FigureTitle">
    <w:name w:val="Figure Title"/>
    <w:basedOn w:val="Caption"/>
    <w:qFormat/>
    <w:rsid w:val="0099598E"/>
  </w:style>
  <w:style w:type="paragraph" w:styleId="Revision">
    <w:name w:val="Revision"/>
    <w:hidden/>
    <w:uiPriority w:val="99"/>
    <w:semiHidden/>
    <w:rsid w:val="00B24295"/>
    <w:pPr>
      <w:spacing w:after="0"/>
    </w:pPr>
  </w:style>
  <w:style w:type="paragraph" w:styleId="TOCHeading">
    <w:name w:val="TOC Heading"/>
    <w:basedOn w:val="Heading1"/>
    <w:next w:val="Normal"/>
    <w:uiPriority w:val="39"/>
    <w:unhideWhenUsed/>
    <w:qFormat/>
    <w:rsid w:val="00241FC9"/>
    <w:pPr>
      <w:numPr>
        <w:numId w:val="0"/>
      </w:numPr>
      <w:pBdr>
        <w:bottom w:val="none" w:sz="0" w:space="0" w:color="auto"/>
      </w:pBdr>
      <w:spacing w:after="0" w:line="259" w:lineRule="auto"/>
      <w:outlineLvl w:val="9"/>
    </w:pPr>
    <w:rPr>
      <w:rFonts w:asciiTheme="majorHAnsi" w:hAnsiTheme="majorHAnsi"/>
      <w:b w:val="0"/>
      <w:color w:val="0000B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0502">
      <w:bodyDiv w:val="1"/>
      <w:marLeft w:val="0"/>
      <w:marRight w:val="0"/>
      <w:marTop w:val="0"/>
      <w:marBottom w:val="0"/>
      <w:divBdr>
        <w:top w:val="none" w:sz="0" w:space="0" w:color="auto"/>
        <w:left w:val="none" w:sz="0" w:space="0" w:color="auto"/>
        <w:bottom w:val="none" w:sz="0" w:space="0" w:color="auto"/>
        <w:right w:val="none" w:sz="0" w:space="0" w:color="auto"/>
      </w:divBdr>
    </w:div>
    <w:div w:id="1721126106">
      <w:bodyDiv w:val="1"/>
      <w:marLeft w:val="0"/>
      <w:marRight w:val="0"/>
      <w:marTop w:val="0"/>
      <w:marBottom w:val="0"/>
      <w:divBdr>
        <w:top w:val="none" w:sz="0" w:space="0" w:color="auto"/>
        <w:left w:val="none" w:sz="0" w:space="0" w:color="auto"/>
        <w:bottom w:val="none" w:sz="0" w:space="0" w:color="auto"/>
        <w:right w:val="none" w:sz="0" w:space="0" w:color="auto"/>
      </w:divBdr>
    </w:div>
    <w:div w:id="17238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nergy.ca.gov/data-reports/energy-almanac/california-electricity-data/electric-generation-capacity-and-energy" TargetMode="External"/><Relationship Id="rId26" Type="http://schemas.openxmlformats.org/officeDocument/2006/relationships/hyperlink" Target="http://ecdms.energy.ca.gov/" TargetMode="External"/><Relationship Id="rId39" Type="http://schemas.openxmlformats.org/officeDocument/2006/relationships/hyperlink" Target="https://arb.ca.gov/emfac/fleet-db/0006d24af026694f250099172e60d02a8fbb2a8f" TargetMode="External"/><Relationship Id="rId21" Type="http://schemas.openxmlformats.org/officeDocument/2006/relationships/hyperlink" Target="https://www.energy.ca.gov/data-reports/energy-almanac/zero-emission-vehicle-and-infrastructure-statistics/medium-and-heavy" TargetMode="External"/><Relationship Id="rId34" Type="http://schemas.openxmlformats.org/officeDocument/2006/relationships/hyperlink" Target="https://dot.ca.gov/programs/environmental-analysis/standard-environmental-reference-ser/volume-1-guidance-for-compliance/ch-13-energy" TargetMode="External"/><Relationship Id="rId42" Type="http://schemas.openxmlformats.org/officeDocument/2006/relationships/hyperlink" Target="https://www.energy.ca.gov/data-reports/energy-almanac/zero-emission-vehicle-and-infrastructure-statistics/medium-and-heavy" TargetMode="External"/><Relationship Id="rId47" Type="http://schemas.openxmlformats.org/officeDocument/2006/relationships/hyperlink" Target="https://www.energy.ca.gov/data-reports/energy-almanac/zero-emission-vehicle-and-infrastructure-statistics/hydrogen-refueling" TargetMode="External"/><Relationship Id="rId50" Type="http://schemas.openxmlformats.org/officeDocument/2006/relationships/hyperlink" Target="https://www.eia.gov/state/?sid=CA"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nergy.ca.gov/data-reports/energy-almanac/zero-emission-vehicle-and-infrastructure-statistics/electric-vehicle" TargetMode="External"/><Relationship Id="rId11" Type="http://schemas.openxmlformats.org/officeDocument/2006/relationships/hyperlink" Target="https://dot.ca.gov/programs/environmental-analysis/standard-environmental-reference-ser/volume-1-guidance-for-compliance/ch-13-energy" TargetMode="External"/><Relationship Id="rId24" Type="http://schemas.openxmlformats.org/officeDocument/2006/relationships/hyperlink" Target="https://www.energy.ca.gov/data-reports/reports/integrated-energy-policy-report" TargetMode="External"/><Relationship Id="rId32" Type="http://schemas.openxmlformats.org/officeDocument/2006/relationships/hyperlink" Target="https://dot.ca.gov/programs/traffic-operations/census" TargetMode="External"/><Relationship Id="rId37" Type="http://schemas.openxmlformats.org/officeDocument/2006/relationships/hyperlink" Target="https://dot.ca.gov/programs/environmental-analysis/standard-environmental-reference-ser/other-guidance" TargetMode="External"/><Relationship Id="rId40" Type="http://schemas.openxmlformats.org/officeDocument/2006/relationships/hyperlink" Target="https://www.energy.ca.gov/data-reports/energy-almanac/california-electricity-data/electric-generation-capacity-and-energy" TargetMode="External"/><Relationship Id="rId45" Type="http://schemas.openxmlformats.org/officeDocument/2006/relationships/hyperlink" Target="https://www.energy.ca.gov/media/3874" TargetMode="External"/><Relationship Id="rId53" Type="http://schemas.openxmlformats.org/officeDocument/2006/relationships/hyperlink" Target="https://www.eia.gov/environment/emissions/co2_vol_mass.php" TargetMode="External"/><Relationship Id="rId5" Type="http://schemas.openxmlformats.org/officeDocument/2006/relationships/webSettings" Target="webSettings.xml"/><Relationship Id="rId10" Type="http://schemas.openxmlformats.org/officeDocument/2006/relationships/hyperlink" Target="https://dot.ca.gov/programs/environmental-analysis/standard-environmental-reference-ser/volume-1-guidance-for-compliance/ch-13-energy" TargetMode="External"/><Relationship Id="rId19" Type="http://schemas.openxmlformats.org/officeDocument/2006/relationships/image" Target="media/image2.png"/><Relationship Id="rId31" Type="http://schemas.openxmlformats.org/officeDocument/2006/relationships/hyperlink" Target="https://www.energy.ca.gov/programs-and-topics/programs/power-source-disclosure/power-content-label" TargetMode="External"/><Relationship Id="rId44" Type="http://schemas.openxmlformats.org/officeDocument/2006/relationships/hyperlink" Target="https://ecdms.energy.ca.gov/elecbycounty.aspx" TargetMode="External"/><Relationship Id="rId52" Type="http://schemas.openxmlformats.org/officeDocument/2006/relationships/hyperlink" Target="https://www.eia.gov/energyexplained/units-and-calculators/british-thermal-units.php" TargetMode="External"/><Relationship Id="rId4" Type="http://schemas.openxmlformats.org/officeDocument/2006/relationships/settings" Target="settings.xml"/><Relationship Id="rId9" Type="http://schemas.openxmlformats.org/officeDocument/2006/relationships/hyperlink" Target="https://dot.ca.gov/programs/environmental-analysis/standard-environmental-reference-ser/volume-1-guidance-for-compliance/ch-13-energy"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www.energy.ca.gov/media/3874" TargetMode="External"/><Relationship Id="rId30" Type="http://schemas.openxmlformats.org/officeDocument/2006/relationships/hyperlink" Target="https://www.energy.ca.gov/data-reports/energy-almanac/zero-emission-vehicle-and-infrastructure-statistics/hydrogen-refueling" TargetMode="External"/><Relationship Id="rId35" Type="http://schemas.openxmlformats.org/officeDocument/2006/relationships/hyperlink" Target="https://dot.ca.gov/programs/environmental-analysis/standard-environmental-reference-ser/volume-1-guidance-for-compliance/ch-13-energy" TargetMode="External"/><Relationship Id="rId43" Type="http://schemas.openxmlformats.org/officeDocument/2006/relationships/hyperlink" Target="https://www.energy.ca.gov/data-reports/energy-almanac/zero-emission-vehicle-and-infrastructure-statistics/new-zev-sales" TargetMode="External"/><Relationship Id="rId48" Type="http://schemas.openxmlformats.org/officeDocument/2006/relationships/hyperlink" Target="https://www.sce.com/sites/default/files/custom-files/Web%20files/2021%20Power%20Content%20Label.pdf" TargetMode="External"/><Relationship Id="rId8" Type="http://schemas.openxmlformats.org/officeDocument/2006/relationships/hyperlink" Target="http://www.dot.ca.gov/ser/" TargetMode="External"/><Relationship Id="rId51" Type="http://schemas.openxmlformats.org/officeDocument/2006/relationships/hyperlink" Target="https://www.eia.gov/todayinenergy/detail.php?id=57180" TargetMode="External"/><Relationship Id="rId3" Type="http://schemas.openxmlformats.org/officeDocument/2006/relationships/styles" Target="styles.xml"/><Relationship Id="rId12" Type="http://schemas.openxmlformats.org/officeDocument/2006/relationships/hyperlink" Target="https://dot.ca.gov/programs/environmental-analysis/standard-environmental-reference-ser/forms-templates" TargetMode="External"/><Relationship Id="rId17" Type="http://schemas.openxmlformats.org/officeDocument/2006/relationships/hyperlink" Target="https://www.eia.gov/state/?sid=CA" TargetMode="External"/><Relationship Id="rId25" Type="http://schemas.openxmlformats.org/officeDocument/2006/relationships/image" Target="media/image4.png"/><Relationship Id="rId33" Type="http://schemas.openxmlformats.org/officeDocument/2006/relationships/hyperlink" Target="https://arb.ca.gov/emfac/fleet-db/620c937522fefcdea4a0603851f8f86f35d52820" TargetMode="External"/><Relationship Id="rId38" Type="http://schemas.openxmlformats.org/officeDocument/2006/relationships/hyperlink" Target="https://www.eia.gov/energyexplained/units-and-calculators/british-thermal-units.php" TargetMode="External"/><Relationship Id="rId46" Type="http://schemas.openxmlformats.org/officeDocument/2006/relationships/hyperlink" Target="https://www.energy.ca.gov/data-reports/energy-almanac/zero-emission-vehicle-and-infrastructure-statistics/electric-vehicle" TargetMode="External"/><Relationship Id="rId20" Type="http://schemas.openxmlformats.org/officeDocument/2006/relationships/hyperlink" Target="https://www.energy.ca.gov/data-reports/energy-almanac/zero-emission-vehicle-and-infrastructure-statistics/light-duty-vehicle" TargetMode="External"/><Relationship Id="rId41" Type="http://schemas.openxmlformats.org/officeDocument/2006/relationships/hyperlink" Target="https://www.energy.ca.gov/data-reports/energy-almanac/zero-emission-vehicle-and-infrastructure-statistics/light-duty-vehicl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energy.ca.gov/data-reports/energy-almanac/zero-emission-vehicle-and-infrastructure-statistics/new-zev-sales" TargetMode="External"/><Relationship Id="rId28" Type="http://schemas.openxmlformats.org/officeDocument/2006/relationships/hyperlink" Target="https://www.energy.ca.gov/data-reports/energy-almanac/zero-emission-vehicle-and-infrastructure-statistics/light-duty-vehicle" TargetMode="External"/><Relationship Id="rId36" Type="http://schemas.openxmlformats.org/officeDocument/2006/relationships/hyperlink" Target="https://www.eia.gov/environment/emissions/co2_vol_mass.php" TargetMode="External"/><Relationship Id="rId49" Type="http://schemas.openxmlformats.org/officeDocument/2006/relationships/hyperlink" Target="https://www.theclimategroup.org/led"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144</TotalTime>
  <Pages>54</Pages>
  <Words>17337</Words>
  <Characters>98825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EIR-EA Writing Template</vt:lpstr>
    </vt:vector>
  </TitlesOfParts>
  <Company/>
  <LinksUpToDate>false</LinksUpToDate>
  <CharactersWithSpaces>115931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Analysis Report AO</dc:title>
  <dc:subject>Energy</dc:subject>
  <dc:creator>Division of Environmental Analysis</dc:creator>
  <cp:keywords/>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39</cp:revision>
  <cp:lastPrinted>2023-10-20T21:44:00Z</cp:lastPrinted>
  <dcterms:created xsi:type="dcterms:W3CDTF">2024-01-19T04:38:00Z</dcterms:created>
  <dcterms:modified xsi:type="dcterms:W3CDTF">2024-01-29T22:15:00Z</dcterms:modified>
</cp:coreProperties>
</file>