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03A" w:rsidRPr="0085403A" w:rsidRDefault="0085403A" w:rsidP="0085403A">
      <w:pPr>
        <w:pStyle w:val="FormTitle"/>
        <w:spacing w:after="360"/>
        <w:rPr>
          <w:color w:val="auto"/>
        </w:rPr>
      </w:pPr>
      <w:r w:rsidRPr="0085403A">
        <w:rPr>
          <w:color w:val="auto"/>
        </w:rPr>
        <w:t>AIR QUALITY POLLUTION STANDARDS TABLES</w:t>
      </w:r>
    </w:p>
    <w:p w:rsidR="0085403A" w:rsidRDefault="0085403A" w:rsidP="0085403A">
      <w:pPr>
        <w:pStyle w:val="FormCategory"/>
      </w:pPr>
      <w:r w:rsidRPr="000F1E3F">
        <w:t xml:space="preserve">TABLE </w:t>
      </w:r>
      <w:r>
        <w:t>XX</w:t>
      </w:r>
      <w:r w:rsidRPr="000F1E3F">
        <w:t xml:space="preserve">:  </w:t>
      </w:r>
      <w:r w:rsidRPr="006A3A53">
        <w:t>AIR POLLUTANT</w:t>
      </w:r>
      <w:r>
        <w:t xml:space="preserve"> </w:t>
      </w:r>
      <w:r w:rsidRPr="006A3A53">
        <w:t>EFFECTS AND SOURCES</w:t>
      </w:r>
    </w:p>
    <w:tbl>
      <w:tblPr>
        <w:tblStyle w:val="TableGrid"/>
        <w:tblW w:w="0" w:type="auto"/>
        <w:tblLook w:val="04A0" w:firstRow="1" w:lastRow="0" w:firstColumn="1" w:lastColumn="0" w:noHBand="0" w:noVBand="1"/>
      </w:tblPr>
      <w:tblGrid>
        <w:gridCol w:w="1705"/>
        <w:gridCol w:w="3780"/>
        <w:gridCol w:w="3865"/>
      </w:tblGrid>
      <w:tr w:rsidR="0085403A" w:rsidRPr="00882628" w:rsidTr="00773762">
        <w:trPr>
          <w:cantSplit/>
          <w:tblHeader/>
        </w:trPr>
        <w:tc>
          <w:tcPr>
            <w:tcW w:w="1705" w:type="dxa"/>
            <w:vAlign w:val="center"/>
          </w:tcPr>
          <w:p w:rsidR="0085403A" w:rsidRPr="00882628" w:rsidRDefault="0085403A" w:rsidP="00361898">
            <w:pPr>
              <w:jc w:val="center"/>
              <w:rPr>
                <w:b/>
                <w:sz w:val="20"/>
                <w:szCs w:val="20"/>
              </w:rPr>
            </w:pPr>
            <w:r w:rsidRPr="00882628">
              <w:rPr>
                <w:b/>
                <w:sz w:val="20"/>
                <w:szCs w:val="20"/>
              </w:rPr>
              <w:t>Pollutant</w:t>
            </w:r>
          </w:p>
        </w:tc>
        <w:tc>
          <w:tcPr>
            <w:tcW w:w="3780" w:type="dxa"/>
            <w:vAlign w:val="center"/>
          </w:tcPr>
          <w:p w:rsidR="0085403A" w:rsidRPr="00882628" w:rsidRDefault="0085403A" w:rsidP="00361898">
            <w:pPr>
              <w:jc w:val="center"/>
              <w:rPr>
                <w:b/>
                <w:sz w:val="20"/>
                <w:szCs w:val="20"/>
              </w:rPr>
            </w:pPr>
            <w:r w:rsidRPr="00882628">
              <w:rPr>
                <w:b/>
                <w:sz w:val="20"/>
                <w:szCs w:val="20"/>
              </w:rPr>
              <w:t>Principal Health and Atmospheric Effects</w:t>
            </w:r>
          </w:p>
        </w:tc>
        <w:tc>
          <w:tcPr>
            <w:tcW w:w="3865" w:type="dxa"/>
            <w:vAlign w:val="center"/>
          </w:tcPr>
          <w:p w:rsidR="0085403A" w:rsidRPr="00882628" w:rsidRDefault="0085403A" w:rsidP="00361898">
            <w:pPr>
              <w:jc w:val="center"/>
              <w:rPr>
                <w:b/>
                <w:sz w:val="20"/>
                <w:szCs w:val="20"/>
              </w:rPr>
            </w:pPr>
            <w:r w:rsidRPr="00882628">
              <w:rPr>
                <w:b/>
                <w:sz w:val="20"/>
                <w:szCs w:val="20"/>
              </w:rPr>
              <w:t>Typical Sources</w:t>
            </w:r>
          </w:p>
        </w:tc>
      </w:tr>
      <w:tr w:rsidR="0085403A" w:rsidRPr="00DA6B5E" w:rsidTr="00773762">
        <w:trPr>
          <w:cantSplit/>
        </w:trPr>
        <w:tc>
          <w:tcPr>
            <w:tcW w:w="1705" w:type="dxa"/>
            <w:shd w:val="clear" w:color="auto" w:fill="F2F2F2" w:themeFill="background1" w:themeFillShade="F2"/>
            <w:vAlign w:val="center"/>
          </w:tcPr>
          <w:p w:rsidR="0085403A" w:rsidRPr="00DA6B5E" w:rsidRDefault="0085403A" w:rsidP="00361898">
            <w:pPr>
              <w:jc w:val="center"/>
              <w:rPr>
                <w:b/>
                <w:sz w:val="20"/>
                <w:szCs w:val="20"/>
              </w:rPr>
            </w:pPr>
            <w:r w:rsidRPr="00DA6B5E">
              <w:rPr>
                <w:b/>
                <w:sz w:val="20"/>
                <w:szCs w:val="20"/>
              </w:rPr>
              <w:t>Ozone (O</w:t>
            </w:r>
            <w:r w:rsidRPr="00DA6B5E">
              <w:rPr>
                <w:b/>
                <w:sz w:val="20"/>
                <w:szCs w:val="20"/>
                <w:vertAlign w:val="subscript"/>
              </w:rPr>
              <w:t>3</w:t>
            </w:r>
            <w:r w:rsidRPr="00DA6B5E">
              <w:rPr>
                <w:b/>
                <w:sz w:val="20"/>
                <w:szCs w:val="20"/>
              </w:rPr>
              <w:t>)</w:t>
            </w:r>
          </w:p>
        </w:tc>
        <w:tc>
          <w:tcPr>
            <w:tcW w:w="3780" w:type="dxa"/>
            <w:shd w:val="clear" w:color="auto" w:fill="F2F2F2" w:themeFill="background1" w:themeFillShade="F2"/>
            <w:vAlign w:val="center"/>
          </w:tcPr>
          <w:p w:rsidR="0085403A" w:rsidRPr="00DA6B5E" w:rsidRDefault="0085403A" w:rsidP="00361898">
            <w:pPr>
              <w:jc w:val="center"/>
              <w:rPr>
                <w:sz w:val="20"/>
                <w:szCs w:val="20"/>
              </w:rPr>
            </w:pPr>
            <w:r w:rsidRPr="00DA6B5E">
              <w:rPr>
                <w:sz w:val="20"/>
                <w:szCs w:val="20"/>
              </w:rPr>
              <w:t>High concentrations irritate lungs. Long-term exposure may cause lung tissue damage and cancer. Long-term exposure damages plant materials and reduces crop productivity. Precursor organic compounds include many known toxic air contaminants. Biogenic VOC may also contribute.</w:t>
            </w:r>
          </w:p>
        </w:tc>
        <w:tc>
          <w:tcPr>
            <w:tcW w:w="3865" w:type="dxa"/>
            <w:shd w:val="clear" w:color="auto" w:fill="F2F2F2" w:themeFill="background1" w:themeFillShade="F2"/>
            <w:vAlign w:val="center"/>
          </w:tcPr>
          <w:p w:rsidR="0085403A" w:rsidRPr="00DA6B5E" w:rsidRDefault="0085403A" w:rsidP="00361898">
            <w:pPr>
              <w:jc w:val="center"/>
              <w:rPr>
                <w:sz w:val="20"/>
                <w:szCs w:val="20"/>
              </w:rPr>
            </w:pPr>
            <w:r w:rsidRPr="00DA6B5E">
              <w:rPr>
                <w:sz w:val="20"/>
                <w:szCs w:val="20"/>
              </w:rPr>
              <w:t>Low-altitude ozone is almost entirely formed from reactive organic gases/volatile organic compounds (ROG or VOC) and nitrogen oxides (NOx) in the presence of sunlight and heat. Common precursor emitters include motor vehicles and other internal combustion engines, solvent evaporation, boilers, furnaces, and industrial processes.</w:t>
            </w:r>
          </w:p>
        </w:tc>
      </w:tr>
      <w:tr w:rsidR="0085403A" w:rsidRPr="00DA6B5E" w:rsidTr="00773762">
        <w:trPr>
          <w:cantSplit/>
        </w:trPr>
        <w:tc>
          <w:tcPr>
            <w:tcW w:w="1705" w:type="dxa"/>
            <w:vAlign w:val="center"/>
          </w:tcPr>
          <w:p w:rsidR="0085403A" w:rsidRPr="00DA6B5E" w:rsidRDefault="0085403A" w:rsidP="00361898">
            <w:pPr>
              <w:jc w:val="center"/>
              <w:rPr>
                <w:b/>
                <w:sz w:val="20"/>
                <w:szCs w:val="20"/>
              </w:rPr>
            </w:pPr>
            <w:r w:rsidRPr="00DA6B5E">
              <w:rPr>
                <w:b/>
                <w:sz w:val="20"/>
                <w:szCs w:val="20"/>
              </w:rPr>
              <w:t>Carbon Monoxide (CO)</w:t>
            </w:r>
          </w:p>
        </w:tc>
        <w:tc>
          <w:tcPr>
            <w:tcW w:w="3780" w:type="dxa"/>
            <w:vAlign w:val="center"/>
          </w:tcPr>
          <w:p w:rsidR="0085403A" w:rsidRPr="00DA6B5E" w:rsidRDefault="0085403A" w:rsidP="00361898">
            <w:pPr>
              <w:jc w:val="center"/>
              <w:rPr>
                <w:sz w:val="20"/>
                <w:szCs w:val="20"/>
              </w:rPr>
            </w:pPr>
            <w:r w:rsidRPr="00DA6B5E">
              <w:rPr>
                <w:sz w:val="20"/>
                <w:szCs w:val="20"/>
              </w:rPr>
              <w:t>CO interferes with the transfer of oxygen to the blood and deprives sensitive tissues of oxygen.  CO also is a minor precursor for photochemical ozone. Colorless, odorless.</w:t>
            </w:r>
          </w:p>
        </w:tc>
        <w:tc>
          <w:tcPr>
            <w:tcW w:w="3865" w:type="dxa"/>
            <w:vAlign w:val="center"/>
          </w:tcPr>
          <w:p w:rsidR="0085403A" w:rsidRPr="00DA6B5E" w:rsidRDefault="0085403A" w:rsidP="00361898">
            <w:pPr>
              <w:jc w:val="center"/>
              <w:rPr>
                <w:sz w:val="20"/>
                <w:szCs w:val="20"/>
              </w:rPr>
            </w:pPr>
            <w:r w:rsidRPr="00DA6B5E">
              <w:rPr>
                <w:sz w:val="20"/>
                <w:szCs w:val="20"/>
              </w:rPr>
              <w:t>Combustion sources, especially gasoline-powered engines and motor vehicles. CO is the traditional signature pollutant for on-road mobile sources at the local and neighborhood scale.</w:t>
            </w:r>
          </w:p>
        </w:tc>
      </w:tr>
      <w:tr w:rsidR="0085403A" w:rsidRPr="00DA6B5E" w:rsidTr="00773762">
        <w:trPr>
          <w:cantSplit/>
        </w:trPr>
        <w:tc>
          <w:tcPr>
            <w:tcW w:w="1705" w:type="dxa"/>
            <w:shd w:val="clear" w:color="auto" w:fill="F2F2F2" w:themeFill="background1" w:themeFillShade="F2"/>
            <w:vAlign w:val="center"/>
          </w:tcPr>
          <w:p w:rsidR="0085403A" w:rsidRPr="00DA6B5E" w:rsidRDefault="0085403A" w:rsidP="00361898">
            <w:pPr>
              <w:jc w:val="center"/>
              <w:rPr>
                <w:b/>
                <w:sz w:val="20"/>
                <w:szCs w:val="20"/>
              </w:rPr>
            </w:pPr>
            <w:r w:rsidRPr="00931416">
              <w:rPr>
                <w:b/>
                <w:sz w:val="20"/>
                <w:szCs w:val="20"/>
              </w:rPr>
              <w:t>Respirable Particulate Matter (PM</w:t>
            </w:r>
            <w:r w:rsidRPr="00931416">
              <w:rPr>
                <w:b/>
                <w:sz w:val="20"/>
                <w:szCs w:val="20"/>
                <w:vertAlign w:val="subscript"/>
              </w:rPr>
              <w:t>10</w:t>
            </w:r>
            <w:r w:rsidRPr="00931416">
              <w:rPr>
                <w:b/>
                <w:sz w:val="20"/>
                <w:szCs w:val="20"/>
              </w:rPr>
              <w:t>)</w:t>
            </w:r>
          </w:p>
        </w:tc>
        <w:tc>
          <w:tcPr>
            <w:tcW w:w="3780" w:type="dxa"/>
            <w:shd w:val="clear" w:color="auto" w:fill="F2F2F2" w:themeFill="background1" w:themeFillShade="F2"/>
            <w:vAlign w:val="center"/>
          </w:tcPr>
          <w:p w:rsidR="0085403A" w:rsidRPr="00DA6B5E" w:rsidRDefault="0085403A" w:rsidP="00361898">
            <w:pPr>
              <w:jc w:val="center"/>
              <w:rPr>
                <w:sz w:val="20"/>
                <w:szCs w:val="20"/>
              </w:rPr>
            </w:pPr>
            <w:r w:rsidRPr="00931416">
              <w:rPr>
                <w:sz w:val="20"/>
                <w:szCs w:val="20"/>
              </w:rPr>
              <w:t>Irritates eyes and respiratory tract. Decreases lung capacity. Associated with increased cancer and mortality. Contributes to haze and reduced visibility. Includes some toxic air contaminants. Many toxic &amp; other aerosol and solid compounds are part of PM</w:t>
            </w:r>
            <w:r w:rsidRPr="00931416">
              <w:rPr>
                <w:sz w:val="20"/>
                <w:szCs w:val="20"/>
                <w:vertAlign w:val="subscript"/>
              </w:rPr>
              <w:t>10</w:t>
            </w:r>
            <w:r w:rsidRPr="00931416">
              <w:rPr>
                <w:sz w:val="20"/>
                <w:szCs w:val="20"/>
              </w:rPr>
              <w:t>.</w:t>
            </w:r>
          </w:p>
        </w:tc>
        <w:tc>
          <w:tcPr>
            <w:tcW w:w="3865" w:type="dxa"/>
            <w:shd w:val="clear" w:color="auto" w:fill="F2F2F2" w:themeFill="background1" w:themeFillShade="F2"/>
            <w:vAlign w:val="center"/>
          </w:tcPr>
          <w:p w:rsidR="0085403A" w:rsidRPr="00DA6B5E" w:rsidRDefault="0085403A" w:rsidP="00361898">
            <w:pPr>
              <w:jc w:val="center"/>
              <w:rPr>
                <w:sz w:val="20"/>
                <w:szCs w:val="20"/>
              </w:rPr>
            </w:pPr>
            <w:r w:rsidRPr="00931416">
              <w:rPr>
                <w:sz w:val="20"/>
                <w:szCs w:val="20"/>
              </w:rPr>
              <w:t>Dust- and fume-producing industrial and agricultural operations; combustion smoke &amp; vehicle exhaust; atmospheric chemical reactions; construction and other dust-producing activities; unpaved road dust and re-entrained paved road dust; natural sources.</w:t>
            </w:r>
          </w:p>
        </w:tc>
      </w:tr>
      <w:tr w:rsidR="00B3469A" w:rsidRPr="00DA6B5E" w:rsidTr="00773762">
        <w:trPr>
          <w:cantSplit/>
        </w:trPr>
        <w:tc>
          <w:tcPr>
            <w:tcW w:w="1705" w:type="dxa"/>
            <w:shd w:val="clear" w:color="auto" w:fill="auto"/>
            <w:vAlign w:val="center"/>
          </w:tcPr>
          <w:p w:rsidR="00B3469A" w:rsidRPr="00931416" w:rsidRDefault="00252457" w:rsidP="00361898">
            <w:pPr>
              <w:jc w:val="center"/>
              <w:rPr>
                <w:b/>
                <w:sz w:val="20"/>
                <w:szCs w:val="20"/>
              </w:rPr>
            </w:pPr>
            <w:r w:rsidRPr="00252457">
              <w:rPr>
                <w:b/>
                <w:sz w:val="20"/>
                <w:szCs w:val="20"/>
              </w:rPr>
              <w:t>Fine Particulate Matter (PM</w:t>
            </w:r>
            <w:r w:rsidRPr="00252457">
              <w:rPr>
                <w:b/>
                <w:sz w:val="20"/>
                <w:szCs w:val="20"/>
                <w:vertAlign w:val="subscript"/>
              </w:rPr>
              <w:t>2.5</w:t>
            </w:r>
            <w:r w:rsidRPr="00252457">
              <w:rPr>
                <w:b/>
                <w:sz w:val="20"/>
                <w:szCs w:val="20"/>
              </w:rPr>
              <w:t>)</w:t>
            </w:r>
          </w:p>
        </w:tc>
        <w:tc>
          <w:tcPr>
            <w:tcW w:w="3780" w:type="dxa"/>
            <w:shd w:val="clear" w:color="auto" w:fill="auto"/>
            <w:vAlign w:val="center"/>
          </w:tcPr>
          <w:p w:rsidR="00B3469A" w:rsidRPr="00931416" w:rsidRDefault="00252457" w:rsidP="00361898">
            <w:pPr>
              <w:jc w:val="center"/>
              <w:rPr>
                <w:sz w:val="20"/>
                <w:szCs w:val="20"/>
              </w:rPr>
            </w:pPr>
            <w:r w:rsidRPr="00252457">
              <w:rPr>
                <w:sz w:val="20"/>
                <w:szCs w:val="20"/>
              </w:rPr>
              <w:t>Increases respiratory disease, lung damage, cancer, and premature death. Reduces visibility and produces surface soiling. Most diesel exhaust particulate matter – a toxic air contaminant – is in the PM</w:t>
            </w:r>
            <w:r w:rsidRPr="00252457">
              <w:rPr>
                <w:sz w:val="20"/>
                <w:szCs w:val="20"/>
                <w:vertAlign w:val="subscript"/>
              </w:rPr>
              <w:t>2.5</w:t>
            </w:r>
            <w:r w:rsidRPr="00252457">
              <w:rPr>
                <w:sz w:val="20"/>
                <w:szCs w:val="20"/>
              </w:rPr>
              <w:t xml:space="preserve"> size range. Many toxic &amp;other aerosol and solid compounds are part of PM</w:t>
            </w:r>
            <w:r w:rsidRPr="00252457">
              <w:rPr>
                <w:sz w:val="20"/>
                <w:szCs w:val="20"/>
                <w:vertAlign w:val="subscript"/>
              </w:rPr>
              <w:t>2.5</w:t>
            </w:r>
          </w:p>
        </w:tc>
        <w:tc>
          <w:tcPr>
            <w:tcW w:w="3865" w:type="dxa"/>
            <w:shd w:val="clear" w:color="auto" w:fill="auto"/>
            <w:vAlign w:val="center"/>
          </w:tcPr>
          <w:p w:rsidR="00B3469A" w:rsidRPr="00931416" w:rsidRDefault="00252457" w:rsidP="00361898">
            <w:pPr>
              <w:jc w:val="center"/>
              <w:rPr>
                <w:sz w:val="20"/>
                <w:szCs w:val="20"/>
              </w:rPr>
            </w:pPr>
            <w:r w:rsidRPr="00252457">
              <w:rPr>
                <w:sz w:val="20"/>
                <w:szCs w:val="20"/>
              </w:rPr>
              <w:t>Combustion including motor vehicles, other mobile sources, and industrial activities; residential and agricultural burning; also formed through atmospheric chemical and photochemical reactions involving other pollutants including NOx, sulfur oxides (</w:t>
            </w:r>
            <w:proofErr w:type="spellStart"/>
            <w:r w:rsidRPr="00252457">
              <w:rPr>
                <w:sz w:val="20"/>
                <w:szCs w:val="20"/>
              </w:rPr>
              <w:t>SOx</w:t>
            </w:r>
            <w:proofErr w:type="spellEnd"/>
            <w:r w:rsidRPr="00252457">
              <w:rPr>
                <w:sz w:val="20"/>
                <w:szCs w:val="20"/>
              </w:rPr>
              <w:t>), ammonia, and ROG.</w:t>
            </w:r>
          </w:p>
        </w:tc>
      </w:tr>
      <w:tr w:rsidR="00B3469A" w:rsidRPr="00DA6B5E" w:rsidTr="00773762">
        <w:trPr>
          <w:cantSplit/>
        </w:trPr>
        <w:tc>
          <w:tcPr>
            <w:tcW w:w="1705" w:type="dxa"/>
            <w:shd w:val="clear" w:color="auto" w:fill="F2F2F2" w:themeFill="background1" w:themeFillShade="F2"/>
            <w:vAlign w:val="center"/>
          </w:tcPr>
          <w:p w:rsidR="00B3469A" w:rsidRPr="00931416" w:rsidRDefault="00252457" w:rsidP="00361898">
            <w:pPr>
              <w:jc w:val="center"/>
              <w:rPr>
                <w:b/>
                <w:sz w:val="20"/>
                <w:szCs w:val="20"/>
              </w:rPr>
            </w:pPr>
            <w:r>
              <w:rPr>
                <w:b/>
                <w:sz w:val="20"/>
                <w:szCs w:val="20"/>
              </w:rPr>
              <w:t>Nitrogen Dioxide (NO</w:t>
            </w:r>
            <w:r w:rsidRPr="00252457">
              <w:rPr>
                <w:b/>
                <w:sz w:val="20"/>
                <w:szCs w:val="20"/>
                <w:vertAlign w:val="subscript"/>
              </w:rPr>
              <w:t>2</w:t>
            </w:r>
            <w:r>
              <w:rPr>
                <w:b/>
                <w:sz w:val="20"/>
                <w:szCs w:val="20"/>
              </w:rPr>
              <w:t>)</w:t>
            </w:r>
          </w:p>
        </w:tc>
        <w:tc>
          <w:tcPr>
            <w:tcW w:w="3780" w:type="dxa"/>
            <w:shd w:val="clear" w:color="auto" w:fill="F2F2F2" w:themeFill="background1" w:themeFillShade="F2"/>
            <w:vAlign w:val="center"/>
          </w:tcPr>
          <w:p w:rsidR="00B3469A" w:rsidRPr="00931416" w:rsidRDefault="00252457" w:rsidP="00361898">
            <w:pPr>
              <w:jc w:val="center"/>
              <w:rPr>
                <w:sz w:val="20"/>
                <w:szCs w:val="20"/>
              </w:rPr>
            </w:pPr>
            <w:r w:rsidRPr="00252457">
              <w:rPr>
                <w:sz w:val="20"/>
                <w:szCs w:val="20"/>
              </w:rPr>
              <w:t>Irritating to eyes and respiratory tract. Colors atmosphere reddish-brown. Contributes to acid rain &amp; nitrate contamination of stormwater. Part of the “NOx” group of ozone precursors.</w:t>
            </w:r>
          </w:p>
        </w:tc>
        <w:tc>
          <w:tcPr>
            <w:tcW w:w="3865" w:type="dxa"/>
            <w:shd w:val="clear" w:color="auto" w:fill="F2F2F2" w:themeFill="background1" w:themeFillShade="F2"/>
            <w:vAlign w:val="center"/>
          </w:tcPr>
          <w:p w:rsidR="00B3469A" w:rsidRPr="00931416" w:rsidRDefault="00252457" w:rsidP="00361898">
            <w:pPr>
              <w:jc w:val="center"/>
              <w:rPr>
                <w:sz w:val="20"/>
                <w:szCs w:val="20"/>
              </w:rPr>
            </w:pPr>
            <w:r w:rsidRPr="00252457">
              <w:rPr>
                <w:sz w:val="20"/>
                <w:szCs w:val="20"/>
              </w:rPr>
              <w:t>Motor vehicles and other mobile or portable engines, especially diesel; refineries; industrial operations.</w:t>
            </w:r>
          </w:p>
        </w:tc>
      </w:tr>
      <w:tr w:rsidR="00B3469A" w:rsidRPr="00DA6B5E" w:rsidTr="00773762">
        <w:trPr>
          <w:cantSplit/>
        </w:trPr>
        <w:tc>
          <w:tcPr>
            <w:tcW w:w="1705" w:type="dxa"/>
            <w:shd w:val="clear" w:color="auto" w:fill="auto"/>
            <w:vAlign w:val="center"/>
          </w:tcPr>
          <w:p w:rsidR="00B3469A" w:rsidRPr="00931416" w:rsidRDefault="005B0BB2" w:rsidP="00361898">
            <w:pPr>
              <w:jc w:val="center"/>
              <w:rPr>
                <w:b/>
                <w:sz w:val="20"/>
                <w:szCs w:val="20"/>
              </w:rPr>
            </w:pPr>
            <w:r>
              <w:rPr>
                <w:b/>
                <w:sz w:val="20"/>
                <w:szCs w:val="20"/>
              </w:rPr>
              <w:t>Sulfur Dioxide (SO</w:t>
            </w:r>
            <w:r w:rsidRPr="005B0BB2">
              <w:rPr>
                <w:b/>
                <w:sz w:val="20"/>
                <w:szCs w:val="20"/>
                <w:vertAlign w:val="subscript"/>
              </w:rPr>
              <w:t>2</w:t>
            </w:r>
            <w:r>
              <w:rPr>
                <w:b/>
                <w:sz w:val="20"/>
                <w:szCs w:val="20"/>
              </w:rPr>
              <w:t>)</w:t>
            </w:r>
          </w:p>
        </w:tc>
        <w:tc>
          <w:tcPr>
            <w:tcW w:w="3780" w:type="dxa"/>
            <w:shd w:val="clear" w:color="auto" w:fill="auto"/>
            <w:vAlign w:val="center"/>
          </w:tcPr>
          <w:p w:rsidR="00B3469A" w:rsidRPr="00931416" w:rsidRDefault="005B0BB2" w:rsidP="00361898">
            <w:pPr>
              <w:jc w:val="center"/>
              <w:rPr>
                <w:sz w:val="20"/>
                <w:szCs w:val="20"/>
              </w:rPr>
            </w:pPr>
            <w:r w:rsidRPr="005B0BB2">
              <w:rPr>
                <w:sz w:val="20"/>
                <w:szCs w:val="20"/>
              </w:rPr>
              <w:t>Irritates respiratory tract; injures lung tissue. Can yellow plant leaves. Destructive to marble, iron, steel. Contributes to acid rain. Limits visibility</w:t>
            </w:r>
            <w:r>
              <w:rPr>
                <w:sz w:val="20"/>
                <w:szCs w:val="20"/>
              </w:rPr>
              <w:t>.</w:t>
            </w:r>
          </w:p>
        </w:tc>
        <w:tc>
          <w:tcPr>
            <w:tcW w:w="3865" w:type="dxa"/>
            <w:shd w:val="clear" w:color="auto" w:fill="auto"/>
            <w:vAlign w:val="center"/>
          </w:tcPr>
          <w:p w:rsidR="00B3469A" w:rsidRPr="00931416" w:rsidRDefault="005B0BB2" w:rsidP="00361898">
            <w:pPr>
              <w:jc w:val="center"/>
              <w:rPr>
                <w:sz w:val="20"/>
                <w:szCs w:val="20"/>
              </w:rPr>
            </w:pPr>
            <w:r w:rsidRPr="005B0BB2">
              <w:rPr>
                <w:sz w:val="20"/>
                <w:szCs w:val="20"/>
              </w:rPr>
              <w:t>Fuel combustion (especially coal and high-sulfur oil), chemical plants, sulfur recovery plants, metal processing; some natural sources like active volcanoes. Limited contribution possible from heavy-duty diesel vehicles if ultra-low sulfur fuel not used.</w:t>
            </w:r>
          </w:p>
        </w:tc>
      </w:tr>
      <w:tr w:rsidR="00B3469A" w:rsidRPr="00DA6B5E" w:rsidTr="00773762">
        <w:trPr>
          <w:cantSplit/>
        </w:trPr>
        <w:tc>
          <w:tcPr>
            <w:tcW w:w="1705" w:type="dxa"/>
            <w:shd w:val="clear" w:color="auto" w:fill="F2F2F2" w:themeFill="background1" w:themeFillShade="F2"/>
            <w:vAlign w:val="center"/>
          </w:tcPr>
          <w:p w:rsidR="00B3469A" w:rsidRPr="00931416" w:rsidRDefault="00553AF9" w:rsidP="00361898">
            <w:pPr>
              <w:jc w:val="center"/>
              <w:rPr>
                <w:b/>
                <w:sz w:val="20"/>
                <w:szCs w:val="20"/>
              </w:rPr>
            </w:pPr>
            <w:r>
              <w:rPr>
                <w:b/>
                <w:sz w:val="20"/>
                <w:szCs w:val="20"/>
              </w:rPr>
              <w:t>Lead (Pb)</w:t>
            </w:r>
          </w:p>
        </w:tc>
        <w:tc>
          <w:tcPr>
            <w:tcW w:w="3780" w:type="dxa"/>
            <w:shd w:val="clear" w:color="auto" w:fill="F2F2F2" w:themeFill="background1" w:themeFillShade="F2"/>
            <w:vAlign w:val="center"/>
          </w:tcPr>
          <w:p w:rsidR="00B3469A" w:rsidRPr="00931416" w:rsidRDefault="00553AF9" w:rsidP="00361898">
            <w:pPr>
              <w:jc w:val="center"/>
              <w:rPr>
                <w:sz w:val="20"/>
                <w:szCs w:val="20"/>
              </w:rPr>
            </w:pPr>
            <w:r w:rsidRPr="00553AF9">
              <w:rPr>
                <w:sz w:val="20"/>
                <w:szCs w:val="20"/>
              </w:rPr>
              <w:t xml:space="preserve">Disturbs gastrointestinal system. Causes anemia, kidney disease, and neuromuscular and neurological dysfunction. </w:t>
            </w:r>
            <w:proofErr w:type="gramStart"/>
            <w:r w:rsidRPr="00553AF9">
              <w:rPr>
                <w:sz w:val="20"/>
                <w:szCs w:val="20"/>
              </w:rPr>
              <w:t>Also</w:t>
            </w:r>
            <w:proofErr w:type="gramEnd"/>
            <w:r w:rsidRPr="00553AF9">
              <w:rPr>
                <w:sz w:val="20"/>
                <w:szCs w:val="20"/>
              </w:rPr>
              <w:t xml:space="preserve"> a toxic air contaminant and water pollutant.</w:t>
            </w:r>
          </w:p>
        </w:tc>
        <w:tc>
          <w:tcPr>
            <w:tcW w:w="3865" w:type="dxa"/>
            <w:shd w:val="clear" w:color="auto" w:fill="F2F2F2" w:themeFill="background1" w:themeFillShade="F2"/>
            <w:vAlign w:val="center"/>
          </w:tcPr>
          <w:p w:rsidR="00B3469A" w:rsidRPr="00931416" w:rsidRDefault="00553AF9" w:rsidP="00361898">
            <w:pPr>
              <w:jc w:val="center"/>
              <w:rPr>
                <w:sz w:val="20"/>
                <w:szCs w:val="20"/>
              </w:rPr>
            </w:pPr>
            <w:r w:rsidRPr="00553AF9">
              <w:rPr>
                <w:sz w:val="20"/>
                <w:szCs w:val="20"/>
              </w:rPr>
              <w:t>Lead-based industrial processes like battery production and smelters. Lead paint, leaded gasoline. Aerially deposited lead from older gasoline use may exist in soils along major roads.</w:t>
            </w:r>
          </w:p>
        </w:tc>
      </w:tr>
      <w:tr w:rsidR="00B3469A" w:rsidRPr="00DA6B5E" w:rsidTr="00773762">
        <w:trPr>
          <w:cantSplit/>
        </w:trPr>
        <w:tc>
          <w:tcPr>
            <w:tcW w:w="1705" w:type="dxa"/>
            <w:shd w:val="clear" w:color="auto" w:fill="auto"/>
            <w:vAlign w:val="center"/>
          </w:tcPr>
          <w:p w:rsidR="00B3469A" w:rsidRPr="00931416" w:rsidRDefault="00553AF9" w:rsidP="00361898">
            <w:pPr>
              <w:jc w:val="center"/>
              <w:rPr>
                <w:b/>
                <w:sz w:val="20"/>
                <w:szCs w:val="20"/>
              </w:rPr>
            </w:pPr>
            <w:r>
              <w:rPr>
                <w:b/>
                <w:sz w:val="20"/>
                <w:szCs w:val="20"/>
              </w:rPr>
              <w:lastRenderedPageBreak/>
              <w:t>Sulfates</w:t>
            </w:r>
          </w:p>
        </w:tc>
        <w:tc>
          <w:tcPr>
            <w:tcW w:w="3780" w:type="dxa"/>
            <w:shd w:val="clear" w:color="auto" w:fill="auto"/>
            <w:vAlign w:val="center"/>
          </w:tcPr>
          <w:p w:rsidR="00B3469A" w:rsidRPr="00931416" w:rsidRDefault="00553AF9" w:rsidP="00361898">
            <w:pPr>
              <w:jc w:val="center"/>
              <w:rPr>
                <w:sz w:val="20"/>
                <w:szCs w:val="20"/>
              </w:rPr>
            </w:pPr>
            <w:r w:rsidRPr="00553AF9">
              <w:rPr>
                <w:sz w:val="20"/>
                <w:szCs w:val="20"/>
              </w:rPr>
              <w:t>Premature mortality and respiratory effects. Contributes to acid rain. Some toxic air contaminants attach to sulfate aerosol particles.</w:t>
            </w:r>
          </w:p>
        </w:tc>
        <w:tc>
          <w:tcPr>
            <w:tcW w:w="3865" w:type="dxa"/>
            <w:shd w:val="clear" w:color="auto" w:fill="auto"/>
            <w:vAlign w:val="center"/>
          </w:tcPr>
          <w:p w:rsidR="00B3469A" w:rsidRPr="00931416" w:rsidRDefault="00553AF9" w:rsidP="00361898">
            <w:pPr>
              <w:jc w:val="center"/>
              <w:rPr>
                <w:sz w:val="20"/>
                <w:szCs w:val="20"/>
              </w:rPr>
            </w:pPr>
            <w:r w:rsidRPr="00553AF9">
              <w:rPr>
                <w:sz w:val="20"/>
                <w:szCs w:val="20"/>
              </w:rPr>
              <w:t>Industrial processes, refineries and oil fields, mines, natural sources like volcanic areas, salt-covered dry lakes, and large sulfide rock areas.</w:t>
            </w:r>
          </w:p>
        </w:tc>
      </w:tr>
      <w:tr w:rsidR="00553AF9" w:rsidRPr="00DA6B5E" w:rsidTr="00773762">
        <w:trPr>
          <w:cantSplit/>
        </w:trPr>
        <w:tc>
          <w:tcPr>
            <w:tcW w:w="1705" w:type="dxa"/>
            <w:shd w:val="clear" w:color="auto" w:fill="F2F2F2" w:themeFill="background1" w:themeFillShade="F2"/>
            <w:vAlign w:val="center"/>
          </w:tcPr>
          <w:p w:rsidR="00553AF9" w:rsidRDefault="00553AF9" w:rsidP="00361898">
            <w:pPr>
              <w:jc w:val="center"/>
              <w:rPr>
                <w:b/>
                <w:sz w:val="20"/>
                <w:szCs w:val="20"/>
              </w:rPr>
            </w:pPr>
            <w:r>
              <w:rPr>
                <w:b/>
                <w:sz w:val="20"/>
                <w:szCs w:val="20"/>
              </w:rPr>
              <w:t>Hydrogen Sulfide (H</w:t>
            </w:r>
            <w:r w:rsidRPr="00553AF9">
              <w:rPr>
                <w:b/>
                <w:sz w:val="20"/>
                <w:szCs w:val="20"/>
                <w:vertAlign w:val="subscript"/>
              </w:rPr>
              <w:t>2</w:t>
            </w:r>
            <w:r>
              <w:rPr>
                <w:b/>
                <w:sz w:val="20"/>
                <w:szCs w:val="20"/>
              </w:rPr>
              <w:t>S)</w:t>
            </w:r>
          </w:p>
        </w:tc>
        <w:tc>
          <w:tcPr>
            <w:tcW w:w="3780" w:type="dxa"/>
            <w:shd w:val="clear" w:color="auto" w:fill="F2F2F2" w:themeFill="background1" w:themeFillShade="F2"/>
            <w:vAlign w:val="center"/>
          </w:tcPr>
          <w:p w:rsidR="00553AF9" w:rsidRPr="00553AF9" w:rsidRDefault="00553AF9" w:rsidP="00361898">
            <w:pPr>
              <w:jc w:val="center"/>
              <w:rPr>
                <w:sz w:val="20"/>
                <w:szCs w:val="20"/>
              </w:rPr>
            </w:pPr>
            <w:r w:rsidRPr="00553AF9">
              <w:rPr>
                <w:sz w:val="20"/>
                <w:szCs w:val="20"/>
              </w:rPr>
              <w:t>Colorless, flammable, poisonous. Respiratory irritant. Neurological damage and premature death. Headache, nausea. Strong odor.</w:t>
            </w:r>
          </w:p>
        </w:tc>
        <w:tc>
          <w:tcPr>
            <w:tcW w:w="3865" w:type="dxa"/>
            <w:shd w:val="clear" w:color="auto" w:fill="F2F2F2" w:themeFill="background1" w:themeFillShade="F2"/>
            <w:vAlign w:val="center"/>
          </w:tcPr>
          <w:p w:rsidR="00553AF9" w:rsidRPr="00553AF9" w:rsidRDefault="00553AF9" w:rsidP="00361898">
            <w:pPr>
              <w:jc w:val="center"/>
              <w:rPr>
                <w:sz w:val="20"/>
                <w:szCs w:val="20"/>
              </w:rPr>
            </w:pPr>
            <w:r w:rsidRPr="00553AF9">
              <w:rPr>
                <w:sz w:val="20"/>
                <w:szCs w:val="20"/>
              </w:rPr>
              <w:t>Industrial processes such as: refineries and oil fields, asphalt plants, livestock operations, sewage treatment plants, and mines. Some natural sources like volcanic areas and hot springs.</w:t>
            </w:r>
          </w:p>
        </w:tc>
      </w:tr>
      <w:tr w:rsidR="00553AF9" w:rsidRPr="00DA6B5E" w:rsidTr="00773762">
        <w:trPr>
          <w:cantSplit/>
        </w:trPr>
        <w:tc>
          <w:tcPr>
            <w:tcW w:w="1705" w:type="dxa"/>
            <w:shd w:val="clear" w:color="auto" w:fill="auto"/>
            <w:vAlign w:val="center"/>
          </w:tcPr>
          <w:p w:rsidR="00553AF9" w:rsidRDefault="008D15A3" w:rsidP="00361898">
            <w:pPr>
              <w:jc w:val="center"/>
              <w:rPr>
                <w:b/>
                <w:sz w:val="20"/>
                <w:szCs w:val="20"/>
              </w:rPr>
            </w:pPr>
            <w:r>
              <w:rPr>
                <w:b/>
                <w:sz w:val="20"/>
                <w:szCs w:val="20"/>
              </w:rPr>
              <w:t>Visibility Reducing Particles (VRP)</w:t>
            </w:r>
          </w:p>
        </w:tc>
        <w:tc>
          <w:tcPr>
            <w:tcW w:w="3780" w:type="dxa"/>
            <w:shd w:val="clear" w:color="auto" w:fill="auto"/>
            <w:vAlign w:val="center"/>
          </w:tcPr>
          <w:p w:rsidR="00553AF9" w:rsidRPr="00553AF9" w:rsidRDefault="008D15A3" w:rsidP="00361898">
            <w:pPr>
              <w:jc w:val="center"/>
              <w:rPr>
                <w:sz w:val="20"/>
                <w:szCs w:val="20"/>
              </w:rPr>
            </w:pPr>
            <w:r w:rsidRPr="008D15A3">
              <w:rPr>
                <w:sz w:val="20"/>
                <w:szCs w:val="20"/>
              </w:rPr>
              <w:t>Reduces visibility. Produces haze.</w:t>
            </w:r>
            <w:r w:rsidR="00D1427B">
              <w:rPr>
                <w:sz w:val="20"/>
                <w:szCs w:val="20"/>
              </w:rPr>
              <w:t xml:space="preserve"> </w:t>
            </w:r>
            <w:r w:rsidRPr="008D15A3">
              <w:rPr>
                <w:sz w:val="20"/>
                <w:szCs w:val="20"/>
              </w:rPr>
              <w:t>NOTE: not directly related to the Regional Haze program under the Federal Clean Air Act, which is oriented primarily toward visibility issues in National Parks and other “Class I” areas. However, some issues and measurement methods are similar.</w:t>
            </w:r>
          </w:p>
        </w:tc>
        <w:tc>
          <w:tcPr>
            <w:tcW w:w="3865" w:type="dxa"/>
            <w:shd w:val="clear" w:color="auto" w:fill="auto"/>
            <w:vAlign w:val="center"/>
          </w:tcPr>
          <w:p w:rsidR="00553AF9" w:rsidRPr="00553AF9" w:rsidRDefault="008D15A3" w:rsidP="00361898">
            <w:pPr>
              <w:jc w:val="center"/>
              <w:rPr>
                <w:sz w:val="20"/>
                <w:szCs w:val="20"/>
              </w:rPr>
            </w:pPr>
            <w:r w:rsidRPr="008D15A3">
              <w:rPr>
                <w:sz w:val="20"/>
                <w:szCs w:val="20"/>
              </w:rPr>
              <w:t>See particulate matter above.</w:t>
            </w:r>
            <w:r w:rsidR="00D1427B">
              <w:rPr>
                <w:sz w:val="20"/>
                <w:szCs w:val="20"/>
              </w:rPr>
              <w:t xml:space="preserve"> </w:t>
            </w:r>
            <w:r w:rsidRPr="008D15A3">
              <w:rPr>
                <w:sz w:val="20"/>
                <w:szCs w:val="20"/>
              </w:rPr>
              <w:t>May be related more to aerosols than to solid particles.</w:t>
            </w:r>
          </w:p>
        </w:tc>
      </w:tr>
      <w:tr w:rsidR="00553AF9" w:rsidRPr="00DA6B5E" w:rsidTr="00773762">
        <w:trPr>
          <w:cantSplit/>
        </w:trPr>
        <w:tc>
          <w:tcPr>
            <w:tcW w:w="1705" w:type="dxa"/>
            <w:shd w:val="clear" w:color="auto" w:fill="F2F2F2" w:themeFill="background1" w:themeFillShade="F2"/>
            <w:vAlign w:val="center"/>
          </w:tcPr>
          <w:p w:rsidR="00553AF9" w:rsidRDefault="008D15A3" w:rsidP="00361898">
            <w:pPr>
              <w:jc w:val="center"/>
              <w:rPr>
                <w:b/>
                <w:sz w:val="20"/>
                <w:szCs w:val="20"/>
              </w:rPr>
            </w:pPr>
            <w:r>
              <w:rPr>
                <w:b/>
                <w:sz w:val="20"/>
                <w:szCs w:val="20"/>
              </w:rPr>
              <w:t>Vinyl Chloride</w:t>
            </w:r>
          </w:p>
        </w:tc>
        <w:tc>
          <w:tcPr>
            <w:tcW w:w="3780" w:type="dxa"/>
            <w:shd w:val="clear" w:color="auto" w:fill="F2F2F2" w:themeFill="background1" w:themeFillShade="F2"/>
            <w:vAlign w:val="center"/>
          </w:tcPr>
          <w:p w:rsidR="00553AF9" w:rsidRPr="00553AF9" w:rsidRDefault="008D15A3" w:rsidP="00361898">
            <w:pPr>
              <w:jc w:val="center"/>
              <w:rPr>
                <w:sz w:val="20"/>
                <w:szCs w:val="20"/>
              </w:rPr>
            </w:pPr>
            <w:r w:rsidRPr="008D15A3">
              <w:rPr>
                <w:sz w:val="20"/>
                <w:szCs w:val="20"/>
              </w:rPr>
              <w:t>Neurological effects, liver damage, cancer.</w:t>
            </w:r>
            <w:r w:rsidR="00D1427B">
              <w:rPr>
                <w:sz w:val="20"/>
                <w:szCs w:val="20"/>
              </w:rPr>
              <w:t xml:space="preserve"> </w:t>
            </w:r>
            <w:r w:rsidRPr="008D15A3">
              <w:rPr>
                <w:sz w:val="20"/>
                <w:szCs w:val="20"/>
              </w:rPr>
              <w:t>Also considered a toxic air contaminant.</w:t>
            </w:r>
          </w:p>
        </w:tc>
        <w:tc>
          <w:tcPr>
            <w:tcW w:w="3865" w:type="dxa"/>
            <w:shd w:val="clear" w:color="auto" w:fill="F2F2F2" w:themeFill="background1" w:themeFillShade="F2"/>
            <w:vAlign w:val="center"/>
          </w:tcPr>
          <w:p w:rsidR="00553AF9" w:rsidRPr="00553AF9" w:rsidRDefault="008D15A3" w:rsidP="00361898">
            <w:pPr>
              <w:jc w:val="center"/>
              <w:rPr>
                <w:sz w:val="20"/>
                <w:szCs w:val="20"/>
              </w:rPr>
            </w:pPr>
            <w:r w:rsidRPr="008D15A3">
              <w:rPr>
                <w:sz w:val="20"/>
                <w:szCs w:val="20"/>
              </w:rPr>
              <w:t>Industrial processes</w:t>
            </w:r>
          </w:p>
        </w:tc>
      </w:tr>
    </w:tbl>
    <w:p w:rsidR="00866BE0" w:rsidRDefault="00866BE0">
      <w:r>
        <w:br w:type="page"/>
      </w:r>
    </w:p>
    <w:p w:rsidR="00866BE0" w:rsidRPr="002E166F" w:rsidRDefault="00866BE0" w:rsidP="00866BE0">
      <w:pPr>
        <w:pStyle w:val="FormCategory"/>
      </w:pPr>
      <w:r w:rsidRPr="000F1E3F">
        <w:lastRenderedPageBreak/>
        <w:t xml:space="preserve">TABLE </w:t>
      </w:r>
      <w:r>
        <w:t>XX</w:t>
      </w:r>
      <w:r w:rsidRPr="000F1E3F">
        <w:t xml:space="preserve">:  </w:t>
      </w:r>
      <w:r w:rsidRPr="006A3A53">
        <w:t>STATE AND FEDERAL CRITERIA AIR POLLUTANT</w:t>
      </w:r>
      <w:r w:rsidR="00BE029E">
        <w:t xml:space="preserve"> </w:t>
      </w:r>
      <w:r w:rsidRPr="006A3A53">
        <w:t>STANDARDS</w:t>
      </w:r>
      <w:r w:rsidR="00C27FB3">
        <w:t xml:space="preserve"> </w:t>
      </w:r>
      <w:r w:rsidRPr="006A3A53">
        <w:t xml:space="preserve">AND </w:t>
      </w:r>
      <w:r w:rsidR="00BE029E">
        <w:t>STATUS</w:t>
      </w:r>
    </w:p>
    <w:p w:rsidR="00866BE0" w:rsidRPr="006A3A53" w:rsidRDefault="00866BE0" w:rsidP="00866BE0">
      <w:pPr>
        <w:tabs>
          <w:tab w:val="left" w:pos="8190"/>
        </w:tabs>
        <w:spacing w:before="120" w:after="120"/>
        <w:rPr>
          <w:rFonts w:cs="Arial"/>
          <w:color w:val="0000FF"/>
        </w:rPr>
      </w:pPr>
      <w:r>
        <w:rPr>
          <w:rFonts w:cs="Arial"/>
          <w:color w:val="0000FF"/>
        </w:rPr>
        <w:t>Instructions</w:t>
      </w:r>
      <w:r w:rsidRPr="004B24DE">
        <w:rPr>
          <w:rFonts w:cs="Arial"/>
          <w:color w:val="0000FF"/>
        </w:rPr>
        <w:t>:</w:t>
      </w:r>
      <w:r>
        <w:rPr>
          <w:rFonts w:cs="Arial"/>
          <w:color w:val="0000FF"/>
        </w:rPr>
        <w:t xml:space="preserve"> </w:t>
      </w:r>
      <w:r w:rsidRPr="006A3A53">
        <w:rPr>
          <w:rFonts w:cs="Arial"/>
          <w:color w:val="0000FF"/>
        </w:rPr>
        <w:t>In the last two columns of th</w:t>
      </w:r>
      <w:r w:rsidR="00912E6E">
        <w:rPr>
          <w:rFonts w:cs="Arial"/>
          <w:color w:val="0000FF"/>
        </w:rPr>
        <w:t>is</w:t>
      </w:r>
      <w:r w:rsidRPr="006A3A53">
        <w:rPr>
          <w:rFonts w:cs="Arial"/>
          <w:color w:val="0000FF"/>
        </w:rPr>
        <w:t xml:space="preserve"> table (State Project Area Attainment Status and Federal Project Area Attainment Status), please choose only from the following options:</w:t>
      </w:r>
    </w:p>
    <w:p w:rsidR="00866BE0" w:rsidRPr="006A3A53" w:rsidRDefault="00866BE0" w:rsidP="00866BE0">
      <w:pPr>
        <w:tabs>
          <w:tab w:val="left" w:pos="8190"/>
        </w:tabs>
        <w:spacing w:before="120" w:after="120"/>
        <w:rPr>
          <w:rFonts w:cs="Arial"/>
          <w:color w:val="0000FF"/>
        </w:rPr>
      </w:pPr>
      <w:r w:rsidRPr="006A3A53">
        <w:rPr>
          <w:rFonts w:cs="Arial"/>
          <w:color w:val="0000FF"/>
        </w:rPr>
        <w:t>STATE: Nonattainment or Attainment.  Identify areas if multiple designations apply.</w:t>
      </w:r>
    </w:p>
    <w:p w:rsidR="00866BE0" w:rsidRPr="006A3A53" w:rsidRDefault="00866BE0" w:rsidP="00866BE0">
      <w:pPr>
        <w:tabs>
          <w:tab w:val="left" w:pos="8190"/>
        </w:tabs>
        <w:spacing w:before="120" w:after="120"/>
        <w:rPr>
          <w:rFonts w:cs="Arial"/>
          <w:color w:val="0000FF"/>
        </w:rPr>
      </w:pPr>
      <w:r w:rsidRPr="006A3A53">
        <w:rPr>
          <w:rFonts w:cs="Arial"/>
          <w:color w:val="0000FF"/>
        </w:rPr>
        <w:t>FEDERAL: Nonattainment or Attainment-Maintenance or Attainment-Unclassified.  Non-Attainment options for Ozone include Extreme, Severe, Serious, Moderate, Marginal, or Basic.  Non-Attainment options for PM 2.5 include Moderate or Serious.  Identify areas if multiple designations apply.</w:t>
      </w:r>
    </w:p>
    <w:p w:rsidR="0085403A" w:rsidRDefault="00866BE0" w:rsidP="00866BE0">
      <w:pPr>
        <w:rPr>
          <w:rFonts w:cs="Arial"/>
          <w:color w:val="0000FF"/>
        </w:rPr>
      </w:pPr>
      <w:r w:rsidRPr="009F324B">
        <w:rPr>
          <w:rFonts w:cs="Arial"/>
          <w:color w:val="0000FF"/>
        </w:rPr>
        <w:t>Delete th</w:t>
      </w:r>
      <w:r w:rsidR="009175FF">
        <w:rPr>
          <w:rFonts w:cs="Arial"/>
          <w:color w:val="0000FF"/>
        </w:rPr>
        <w:t>e</w:t>
      </w:r>
      <w:r w:rsidRPr="009F324B">
        <w:rPr>
          <w:rFonts w:cs="Arial"/>
          <w:color w:val="0000FF"/>
        </w:rPr>
        <w:t>s</w:t>
      </w:r>
      <w:r w:rsidR="009175FF">
        <w:rPr>
          <w:rFonts w:cs="Arial"/>
          <w:color w:val="0000FF"/>
        </w:rPr>
        <w:t>e</w:t>
      </w:r>
      <w:r w:rsidRPr="009F324B">
        <w:rPr>
          <w:rFonts w:cs="Arial"/>
          <w:color w:val="0000FF"/>
        </w:rPr>
        <w:t xml:space="preserve"> </w:t>
      </w:r>
      <w:r w:rsidR="009175FF">
        <w:rPr>
          <w:rFonts w:cs="Arial"/>
          <w:color w:val="0000FF"/>
        </w:rPr>
        <w:t>instructions</w:t>
      </w:r>
      <w:r w:rsidRPr="009F324B">
        <w:rPr>
          <w:rFonts w:cs="Arial"/>
          <w:color w:val="0000FF"/>
        </w:rPr>
        <w:t xml:space="preserve"> before finalizing</w:t>
      </w:r>
      <w:r w:rsidR="0036758F">
        <w:rPr>
          <w:rFonts w:cs="Arial"/>
          <w:color w:val="0000FF"/>
        </w:rPr>
        <w:t>.</w:t>
      </w:r>
    </w:p>
    <w:tbl>
      <w:tblPr>
        <w:tblStyle w:val="TableGrid"/>
        <w:tblW w:w="0" w:type="auto"/>
        <w:tblLayout w:type="fixed"/>
        <w:tblLook w:val="04A0" w:firstRow="1" w:lastRow="0" w:firstColumn="1" w:lastColumn="0" w:noHBand="0" w:noVBand="1"/>
      </w:tblPr>
      <w:tblGrid>
        <w:gridCol w:w="1435"/>
        <w:gridCol w:w="1260"/>
        <w:gridCol w:w="1440"/>
        <w:gridCol w:w="2070"/>
        <w:gridCol w:w="1440"/>
        <w:gridCol w:w="1440"/>
      </w:tblGrid>
      <w:tr w:rsidR="0057594E" w:rsidRPr="00866BE0" w:rsidTr="0057594E">
        <w:trPr>
          <w:cantSplit/>
          <w:tblHeader/>
        </w:trPr>
        <w:tc>
          <w:tcPr>
            <w:tcW w:w="1435" w:type="dxa"/>
            <w:vAlign w:val="center"/>
          </w:tcPr>
          <w:p w:rsidR="00CA3125" w:rsidRPr="0006249E" w:rsidRDefault="00CA3125" w:rsidP="009A391D">
            <w:pPr>
              <w:jc w:val="center"/>
              <w:rPr>
                <w:rFonts w:cs="Arial"/>
                <w:b/>
                <w:sz w:val="20"/>
                <w:szCs w:val="20"/>
              </w:rPr>
            </w:pPr>
            <w:r w:rsidRPr="0006249E">
              <w:rPr>
                <w:rFonts w:cs="Arial"/>
                <w:b/>
                <w:sz w:val="20"/>
                <w:szCs w:val="20"/>
              </w:rPr>
              <w:t>Pollutant</w:t>
            </w:r>
          </w:p>
        </w:tc>
        <w:tc>
          <w:tcPr>
            <w:tcW w:w="1260" w:type="dxa"/>
            <w:vAlign w:val="center"/>
          </w:tcPr>
          <w:p w:rsidR="00CA3125" w:rsidRPr="00866BE0" w:rsidRDefault="00CA3125" w:rsidP="009A391D">
            <w:pPr>
              <w:jc w:val="center"/>
              <w:rPr>
                <w:rFonts w:cs="Arial"/>
                <w:b/>
                <w:sz w:val="20"/>
                <w:szCs w:val="20"/>
              </w:rPr>
            </w:pPr>
            <w:r w:rsidRPr="00866BE0">
              <w:rPr>
                <w:rFonts w:cs="Arial"/>
                <w:b/>
                <w:sz w:val="20"/>
                <w:szCs w:val="20"/>
              </w:rPr>
              <w:t>Averaging Time</w:t>
            </w:r>
          </w:p>
        </w:tc>
        <w:tc>
          <w:tcPr>
            <w:tcW w:w="1440" w:type="dxa"/>
            <w:vAlign w:val="center"/>
          </w:tcPr>
          <w:p w:rsidR="00CA3125" w:rsidRPr="00866BE0" w:rsidRDefault="00CA3125" w:rsidP="009A391D">
            <w:pPr>
              <w:jc w:val="center"/>
              <w:rPr>
                <w:rFonts w:cs="Arial"/>
                <w:b/>
                <w:sz w:val="20"/>
                <w:szCs w:val="20"/>
              </w:rPr>
            </w:pPr>
            <w:r w:rsidRPr="00866BE0">
              <w:rPr>
                <w:rFonts w:cs="Arial"/>
                <w:b/>
                <w:sz w:val="20"/>
                <w:szCs w:val="20"/>
              </w:rPr>
              <w:t>State Standard</w:t>
            </w:r>
            <w:r w:rsidR="00F377B8">
              <w:rPr>
                <w:rFonts w:cs="Arial"/>
                <w:b/>
                <w:sz w:val="20"/>
                <w:szCs w:val="20"/>
              </w:rPr>
              <w:t xml:space="preserve"> </w:t>
            </w:r>
            <w:r w:rsidR="00F97B28">
              <w:rPr>
                <w:rStyle w:val="EndnoteReference"/>
                <w:rFonts w:cs="Arial"/>
                <w:b/>
                <w:sz w:val="20"/>
                <w:szCs w:val="20"/>
              </w:rPr>
              <w:endnoteReference w:id="1"/>
            </w:r>
          </w:p>
        </w:tc>
        <w:tc>
          <w:tcPr>
            <w:tcW w:w="2070" w:type="dxa"/>
            <w:vAlign w:val="center"/>
          </w:tcPr>
          <w:p w:rsidR="00CA3125" w:rsidRPr="00866BE0" w:rsidRDefault="00CA3125" w:rsidP="009A391D">
            <w:pPr>
              <w:jc w:val="center"/>
              <w:rPr>
                <w:rFonts w:cs="Arial"/>
                <w:b/>
                <w:sz w:val="20"/>
                <w:szCs w:val="20"/>
              </w:rPr>
            </w:pPr>
            <w:r w:rsidRPr="00866BE0">
              <w:rPr>
                <w:rFonts w:cs="Arial"/>
                <w:b/>
                <w:sz w:val="20"/>
                <w:szCs w:val="20"/>
              </w:rPr>
              <w:t>Federal</w:t>
            </w:r>
            <w:r w:rsidR="00A03D68">
              <w:rPr>
                <w:rFonts w:cs="Arial"/>
                <w:b/>
                <w:sz w:val="20"/>
                <w:szCs w:val="20"/>
              </w:rPr>
              <w:br/>
            </w:r>
            <w:r w:rsidRPr="00866BE0">
              <w:rPr>
                <w:rFonts w:cs="Arial"/>
                <w:b/>
                <w:sz w:val="20"/>
                <w:szCs w:val="20"/>
              </w:rPr>
              <w:t>Standard</w:t>
            </w:r>
            <w:r w:rsidR="00F377B8">
              <w:rPr>
                <w:rFonts w:cs="Arial"/>
                <w:b/>
                <w:sz w:val="20"/>
                <w:szCs w:val="20"/>
              </w:rPr>
              <w:t xml:space="preserve"> </w:t>
            </w:r>
            <w:r w:rsidR="00F97B28">
              <w:rPr>
                <w:rStyle w:val="EndnoteReference"/>
                <w:rFonts w:cs="Arial"/>
                <w:b/>
                <w:sz w:val="20"/>
                <w:szCs w:val="20"/>
              </w:rPr>
              <w:endnoteReference w:id="2"/>
            </w:r>
          </w:p>
        </w:tc>
        <w:tc>
          <w:tcPr>
            <w:tcW w:w="1440" w:type="dxa"/>
            <w:vAlign w:val="center"/>
          </w:tcPr>
          <w:p w:rsidR="00CA3125" w:rsidRPr="00866BE0" w:rsidRDefault="00CA3125" w:rsidP="009A391D">
            <w:pPr>
              <w:jc w:val="center"/>
              <w:rPr>
                <w:rFonts w:cs="Arial"/>
                <w:b/>
                <w:sz w:val="20"/>
                <w:szCs w:val="20"/>
              </w:rPr>
            </w:pPr>
            <w:r w:rsidRPr="00866BE0">
              <w:rPr>
                <w:rFonts w:cs="Arial"/>
                <w:b/>
                <w:sz w:val="20"/>
                <w:szCs w:val="20"/>
              </w:rPr>
              <w:t>State</w:t>
            </w:r>
            <w:r w:rsidR="00866BE0">
              <w:rPr>
                <w:rFonts w:cs="Arial"/>
                <w:b/>
                <w:sz w:val="20"/>
                <w:szCs w:val="20"/>
              </w:rPr>
              <w:br/>
            </w:r>
            <w:r w:rsidRPr="00866BE0">
              <w:rPr>
                <w:rFonts w:cs="Arial"/>
                <w:b/>
                <w:sz w:val="20"/>
                <w:szCs w:val="20"/>
              </w:rPr>
              <w:t>Project Attainment Status</w:t>
            </w:r>
          </w:p>
        </w:tc>
        <w:tc>
          <w:tcPr>
            <w:tcW w:w="1440" w:type="dxa"/>
            <w:vAlign w:val="center"/>
          </w:tcPr>
          <w:p w:rsidR="00CA3125" w:rsidRPr="00866BE0" w:rsidRDefault="00CA3125" w:rsidP="009A391D">
            <w:pPr>
              <w:jc w:val="center"/>
              <w:rPr>
                <w:rFonts w:cs="Arial"/>
                <w:b/>
                <w:sz w:val="20"/>
                <w:szCs w:val="20"/>
              </w:rPr>
            </w:pPr>
            <w:r w:rsidRPr="00866BE0">
              <w:rPr>
                <w:rFonts w:cs="Arial"/>
                <w:b/>
                <w:sz w:val="20"/>
                <w:szCs w:val="20"/>
              </w:rPr>
              <w:t>Federal Project Area Attainment Status</w:t>
            </w:r>
          </w:p>
        </w:tc>
      </w:tr>
      <w:tr w:rsidR="0057594E" w:rsidRPr="00866BE0" w:rsidTr="0057594E">
        <w:trPr>
          <w:cantSplit/>
        </w:trPr>
        <w:tc>
          <w:tcPr>
            <w:tcW w:w="1435" w:type="dxa"/>
            <w:shd w:val="clear" w:color="auto" w:fill="F2F2F2" w:themeFill="background1" w:themeFillShade="F2"/>
            <w:vAlign w:val="center"/>
          </w:tcPr>
          <w:p w:rsidR="00CA3125" w:rsidRPr="0006249E" w:rsidRDefault="00CA3125" w:rsidP="0057594E">
            <w:pPr>
              <w:ind w:left="248" w:right="-106"/>
              <w:rPr>
                <w:rFonts w:cs="Arial"/>
                <w:b/>
                <w:sz w:val="20"/>
                <w:szCs w:val="20"/>
              </w:rPr>
            </w:pPr>
            <w:r w:rsidRPr="0006249E">
              <w:rPr>
                <w:rFonts w:cs="Arial"/>
                <w:b/>
                <w:sz w:val="20"/>
                <w:szCs w:val="20"/>
              </w:rPr>
              <w:t>O</w:t>
            </w:r>
            <w:r w:rsidRPr="0006249E">
              <w:rPr>
                <w:rFonts w:cs="Arial"/>
                <w:b/>
                <w:sz w:val="20"/>
                <w:szCs w:val="20"/>
                <w:vertAlign w:val="subscript"/>
              </w:rPr>
              <w:t>3</w:t>
            </w:r>
            <w:r w:rsidR="00F377B8">
              <w:rPr>
                <w:rFonts w:cs="Arial"/>
                <w:b/>
                <w:sz w:val="20"/>
                <w:szCs w:val="20"/>
                <w:vertAlign w:val="subscript"/>
              </w:rPr>
              <w:t xml:space="preserve"> </w:t>
            </w:r>
            <w:r w:rsidR="00F97B28" w:rsidRPr="0006249E">
              <w:rPr>
                <w:rStyle w:val="EndnoteReference"/>
                <w:rFonts w:cs="Arial"/>
                <w:b/>
                <w:sz w:val="20"/>
                <w:szCs w:val="20"/>
              </w:rPr>
              <w:endnoteReference w:id="3"/>
            </w:r>
          </w:p>
        </w:tc>
        <w:tc>
          <w:tcPr>
            <w:tcW w:w="1260" w:type="dxa"/>
            <w:shd w:val="clear" w:color="auto" w:fill="F2F2F2" w:themeFill="background1" w:themeFillShade="F2"/>
            <w:vAlign w:val="center"/>
          </w:tcPr>
          <w:p w:rsidR="00CA3125" w:rsidRPr="00866BE0" w:rsidRDefault="00CA3125" w:rsidP="009A391D">
            <w:pPr>
              <w:jc w:val="center"/>
              <w:rPr>
                <w:rFonts w:cs="Arial"/>
                <w:sz w:val="20"/>
                <w:szCs w:val="20"/>
              </w:rPr>
            </w:pPr>
            <w:r w:rsidRPr="00866BE0">
              <w:rPr>
                <w:rFonts w:cs="Arial"/>
                <w:sz w:val="20"/>
                <w:szCs w:val="20"/>
              </w:rPr>
              <w:t>1 hour</w:t>
            </w:r>
          </w:p>
        </w:tc>
        <w:tc>
          <w:tcPr>
            <w:tcW w:w="1440" w:type="dxa"/>
            <w:shd w:val="clear" w:color="auto" w:fill="F2F2F2" w:themeFill="background1" w:themeFillShade="F2"/>
            <w:vAlign w:val="center"/>
          </w:tcPr>
          <w:p w:rsidR="00CA3125" w:rsidRPr="00866BE0" w:rsidRDefault="00CA3125" w:rsidP="009A391D">
            <w:pPr>
              <w:jc w:val="center"/>
              <w:rPr>
                <w:rFonts w:cs="Arial"/>
                <w:sz w:val="20"/>
                <w:szCs w:val="20"/>
              </w:rPr>
            </w:pPr>
            <w:r w:rsidRPr="00866BE0">
              <w:rPr>
                <w:rFonts w:cs="Arial"/>
                <w:sz w:val="20"/>
                <w:szCs w:val="20"/>
              </w:rPr>
              <w:t>0.09 ppm</w:t>
            </w:r>
            <w:r w:rsidR="00F377B8">
              <w:rPr>
                <w:rFonts w:cs="Arial"/>
                <w:sz w:val="20"/>
                <w:szCs w:val="20"/>
              </w:rPr>
              <w:t xml:space="preserve"> </w:t>
            </w:r>
            <w:r w:rsidR="00F97B28">
              <w:rPr>
                <w:rStyle w:val="EndnoteReference"/>
                <w:rFonts w:cs="Arial"/>
                <w:sz w:val="20"/>
                <w:szCs w:val="20"/>
              </w:rPr>
              <w:endnoteReference w:id="4"/>
            </w:r>
          </w:p>
        </w:tc>
        <w:tc>
          <w:tcPr>
            <w:tcW w:w="2070" w:type="dxa"/>
            <w:shd w:val="clear" w:color="auto" w:fill="F2F2F2" w:themeFill="background1" w:themeFillShade="F2"/>
            <w:vAlign w:val="center"/>
          </w:tcPr>
          <w:p w:rsidR="00CA3125" w:rsidRPr="00866BE0" w:rsidRDefault="00CA3125" w:rsidP="009A391D">
            <w:pPr>
              <w:jc w:val="center"/>
              <w:rPr>
                <w:rFonts w:cs="Arial"/>
                <w:sz w:val="20"/>
                <w:szCs w:val="20"/>
              </w:rPr>
            </w:pPr>
            <w:r w:rsidRPr="00866BE0">
              <w:rPr>
                <w:rFonts w:cs="Arial"/>
                <w:sz w:val="20"/>
                <w:szCs w:val="20"/>
              </w:rPr>
              <w:t>N/A</w:t>
            </w:r>
          </w:p>
        </w:tc>
        <w:tc>
          <w:tcPr>
            <w:tcW w:w="1440" w:type="dxa"/>
            <w:shd w:val="clear" w:color="auto" w:fill="F2F2F2" w:themeFill="background1" w:themeFillShade="F2"/>
            <w:vAlign w:val="center"/>
          </w:tcPr>
          <w:p w:rsidR="00CA3125"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bookmarkStart w:id="1" w:name="Text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
          </w:p>
        </w:tc>
        <w:tc>
          <w:tcPr>
            <w:tcW w:w="1440" w:type="dxa"/>
            <w:shd w:val="clear" w:color="auto" w:fill="F2F2F2" w:themeFill="background1" w:themeFillShade="F2"/>
            <w:vAlign w:val="center"/>
          </w:tcPr>
          <w:p w:rsidR="00CA3125" w:rsidRPr="00866BE0" w:rsidRDefault="00CA3125" w:rsidP="009A391D">
            <w:pPr>
              <w:jc w:val="center"/>
              <w:rPr>
                <w:rFonts w:cs="Arial"/>
                <w:sz w:val="20"/>
                <w:szCs w:val="20"/>
              </w:rPr>
            </w:pPr>
            <w:r w:rsidRPr="00866BE0">
              <w:rPr>
                <w:rFonts w:cs="Arial"/>
                <w:sz w:val="20"/>
                <w:szCs w:val="20"/>
              </w:rPr>
              <w:t>N/A</w:t>
            </w:r>
          </w:p>
        </w:tc>
      </w:tr>
      <w:tr w:rsidR="0057594E" w:rsidRPr="00866BE0" w:rsidTr="0057594E">
        <w:trPr>
          <w:cantSplit/>
        </w:trPr>
        <w:tc>
          <w:tcPr>
            <w:tcW w:w="1435" w:type="dxa"/>
            <w:shd w:val="clear" w:color="auto" w:fill="F2F2F2" w:themeFill="background1" w:themeFillShade="F2"/>
            <w:vAlign w:val="center"/>
          </w:tcPr>
          <w:p w:rsidR="00CA3125" w:rsidRPr="0006249E" w:rsidRDefault="00CA3125" w:rsidP="0057594E">
            <w:pPr>
              <w:ind w:left="248" w:right="-106"/>
              <w:rPr>
                <w:rFonts w:cs="Arial"/>
                <w:b/>
                <w:sz w:val="20"/>
                <w:szCs w:val="20"/>
              </w:rPr>
            </w:pPr>
            <w:r w:rsidRPr="0006249E">
              <w:rPr>
                <w:rFonts w:cs="Arial"/>
                <w:b/>
                <w:sz w:val="20"/>
                <w:szCs w:val="20"/>
              </w:rPr>
              <w:t>O</w:t>
            </w:r>
            <w:r w:rsidRPr="0006249E">
              <w:rPr>
                <w:rFonts w:cs="Arial"/>
                <w:b/>
                <w:sz w:val="20"/>
                <w:szCs w:val="20"/>
                <w:vertAlign w:val="subscript"/>
              </w:rPr>
              <w:t>3</w:t>
            </w:r>
          </w:p>
        </w:tc>
        <w:tc>
          <w:tcPr>
            <w:tcW w:w="1260" w:type="dxa"/>
            <w:shd w:val="clear" w:color="auto" w:fill="F2F2F2" w:themeFill="background1" w:themeFillShade="F2"/>
            <w:vAlign w:val="center"/>
          </w:tcPr>
          <w:p w:rsidR="00CA3125" w:rsidRPr="00866BE0" w:rsidRDefault="00CA3125" w:rsidP="009A391D">
            <w:pPr>
              <w:jc w:val="center"/>
              <w:rPr>
                <w:rFonts w:cs="Arial"/>
                <w:sz w:val="20"/>
                <w:szCs w:val="20"/>
              </w:rPr>
            </w:pPr>
            <w:r w:rsidRPr="00866BE0">
              <w:rPr>
                <w:rFonts w:cs="Arial"/>
                <w:sz w:val="20"/>
                <w:szCs w:val="20"/>
              </w:rPr>
              <w:t>8 hours</w:t>
            </w:r>
          </w:p>
        </w:tc>
        <w:tc>
          <w:tcPr>
            <w:tcW w:w="1440" w:type="dxa"/>
            <w:shd w:val="clear" w:color="auto" w:fill="F2F2F2" w:themeFill="background1" w:themeFillShade="F2"/>
            <w:vAlign w:val="center"/>
          </w:tcPr>
          <w:p w:rsidR="00CA3125" w:rsidRPr="00866BE0" w:rsidRDefault="00CA3125" w:rsidP="009A391D">
            <w:pPr>
              <w:jc w:val="center"/>
              <w:rPr>
                <w:rFonts w:cs="Arial"/>
                <w:sz w:val="20"/>
                <w:szCs w:val="20"/>
              </w:rPr>
            </w:pPr>
            <w:r w:rsidRPr="00866BE0">
              <w:rPr>
                <w:rFonts w:cs="Arial"/>
                <w:sz w:val="20"/>
                <w:szCs w:val="20"/>
              </w:rPr>
              <w:t>0.07</w:t>
            </w:r>
            <w:r w:rsidR="00773762">
              <w:rPr>
                <w:rFonts w:cs="Arial"/>
                <w:sz w:val="20"/>
                <w:szCs w:val="20"/>
              </w:rPr>
              <w:t>0</w:t>
            </w:r>
            <w:r w:rsidRPr="00866BE0">
              <w:rPr>
                <w:rFonts w:cs="Arial"/>
                <w:sz w:val="20"/>
                <w:szCs w:val="20"/>
              </w:rPr>
              <w:t xml:space="preserve"> ppm</w:t>
            </w:r>
          </w:p>
        </w:tc>
        <w:tc>
          <w:tcPr>
            <w:tcW w:w="2070" w:type="dxa"/>
            <w:shd w:val="clear" w:color="auto" w:fill="F2F2F2" w:themeFill="background1" w:themeFillShade="F2"/>
            <w:vAlign w:val="center"/>
          </w:tcPr>
          <w:p w:rsidR="00CA3125" w:rsidRPr="00866BE0" w:rsidRDefault="00CA3125" w:rsidP="009A391D">
            <w:pPr>
              <w:jc w:val="center"/>
              <w:rPr>
                <w:rFonts w:cs="Arial"/>
                <w:sz w:val="20"/>
                <w:szCs w:val="20"/>
              </w:rPr>
            </w:pPr>
            <w:r w:rsidRPr="00866BE0">
              <w:rPr>
                <w:rFonts w:cs="Arial"/>
                <w:sz w:val="20"/>
                <w:szCs w:val="20"/>
              </w:rPr>
              <w:t>0.070 ppm</w:t>
            </w:r>
            <w:r w:rsidRPr="00866BE0">
              <w:rPr>
                <w:rFonts w:cs="Arial"/>
                <w:sz w:val="20"/>
                <w:szCs w:val="20"/>
              </w:rPr>
              <w:br/>
              <w:t>(4</w:t>
            </w:r>
            <w:r w:rsidRPr="00866BE0">
              <w:rPr>
                <w:rFonts w:cs="Arial"/>
                <w:sz w:val="20"/>
                <w:szCs w:val="20"/>
                <w:vertAlign w:val="superscript"/>
              </w:rPr>
              <w:t>th</w:t>
            </w:r>
            <w:r w:rsidRPr="00866BE0">
              <w:rPr>
                <w:rFonts w:cs="Arial"/>
                <w:sz w:val="20"/>
                <w:szCs w:val="20"/>
              </w:rPr>
              <w:t xml:space="preserve"> highest in 3 years)</w:t>
            </w:r>
          </w:p>
        </w:tc>
        <w:tc>
          <w:tcPr>
            <w:tcW w:w="1440" w:type="dxa"/>
            <w:shd w:val="clear" w:color="auto" w:fill="F2F2F2" w:themeFill="background1" w:themeFillShade="F2"/>
            <w:vAlign w:val="center"/>
          </w:tcPr>
          <w:p w:rsidR="00CA3125"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shd w:val="clear" w:color="auto" w:fill="F2F2F2" w:themeFill="background1" w:themeFillShade="F2"/>
            <w:vAlign w:val="center"/>
          </w:tcPr>
          <w:p w:rsidR="00CA3125"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7594E" w:rsidRPr="00866BE0" w:rsidTr="0057594E">
        <w:trPr>
          <w:cantSplit/>
        </w:trPr>
        <w:tc>
          <w:tcPr>
            <w:tcW w:w="1435" w:type="dxa"/>
            <w:vAlign w:val="center"/>
          </w:tcPr>
          <w:p w:rsidR="00CA3125" w:rsidRPr="0006249E" w:rsidRDefault="00CA3125" w:rsidP="0057594E">
            <w:pPr>
              <w:ind w:left="248" w:right="-106"/>
              <w:rPr>
                <w:rFonts w:cs="Arial"/>
                <w:b/>
                <w:sz w:val="20"/>
                <w:szCs w:val="20"/>
              </w:rPr>
            </w:pPr>
            <w:r w:rsidRPr="0006249E">
              <w:rPr>
                <w:rFonts w:cs="Arial"/>
                <w:b/>
                <w:sz w:val="20"/>
                <w:szCs w:val="20"/>
              </w:rPr>
              <w:t>CO</w:t>
            </w:r>
            <w:r w:rsidR="00F377B8">
              <w:rPr>
                <w:rFonts w:cs="Arial"/>
                <w:b/>
                <w:sz w:val="20"/>
                <w:szCs w:val="20"/>
              </w:rPr>
              <w:t xml:space="preserve"> </w:t>
            </w:r>
            <w:r w:rsidR="00F97B28" w:rsidRPr="0006249E">
              <w:rPr>
                <w:rStyle w:val="EndnoteReference"/>
                <w:rFonts w:cs="Arial"/>
                <w:b/>
                <w:sz w:val="20"/>
                <w:szCs w:val="20"/>
              </w:rPr>
              <w:endnoteReference w:id="5"/>
            </w:r>
          </w:p>
        </w:tc>
        <w:tc>
          <w:tcPr>
            <w:tcW w:w="1260" w:type="dxa"/>
            <w:vAlign w:val="center"/>
          </w:tcPr>
          <w:p w:rsidR="00CA3125" w:rsidRPr="00866BE0" w:rsidRDefault="00CA3125" w:rsidP="009A391D">
            <w:pPr>
              <w:jc w:val="center"/>
              <w:rPr>
                <w:rFonts w:cs="Arial"/>
                <w:sz w:val="20"/>
                <w:szCs w:val="20"/>
              </w:rPr>
            </w:pPr>
            <w:r w:rsidRPr="00866BE0">
              <w:rPr>
                <w:rFonts w:cs="Arial"/>
                <w:sz w:val="20"/>
                <w:szCs w:val="20"/>
              </w:rPr>
              <w:t>1 hour</w:t>
            </w:r>
          </w:p>
        </w:tc>
        <w:tc>
          <w:tcPr>
            <w:tcW w:w="1440" w:type="dxa"/>
            <w:vAlign w:val="center"/>
          </w:tcPr>
          <w:p w:rsidR="00CA3125" w:rsidRPr="00866BE0" w:rsidRDefault="00CA3125" w:rsidP="009A391D">
            <w:pPr>
              <w:jc w:val="center"/>
              <w:rPr>
                <w:rFonts w:cs="Arial"/>
                <w:sz w:val="20"/>
                <w:szCs w:val="20"/>
              </w:rPr>
            </w:pPr>
            <w:r w:rsidRPr="00866BE0">
              <w:rPr>
                <w:rFonts w:cs="Arial"/>
                <w:sz w:val="20"/>
                <w:szCs w:val="20"/>
              </w:rPr>
              <w:t>20 ppm</w:t>
            </w:r>
          </w:p>
        </w:tc>
        <w:tc>
          <w:tcPr>
            <w:tcW w:w="2070" w:type="dxa"/>
            <w:vAlign w:val="center"/>
          </w:tcPr>
          <w:p w:rsidR="00CA3125" w:rsidRPr="00866BE0" w:rsidRDefault="00CA3125" w:rsidP="009A391D">
            <w:pPr>
              <w:jc w:val="center"/>
              <w:rPr>
                <w:rFonts w:cs="Arial"/>
                <w:sz w:val="20"/>
                <w:szCs w:val="20"/>
              </w:rPr>
            </w:pPr>
            <w:r w:rsidRPr="00866BE0">
              <w:rPr>
                <w:rFonts w:cs="Arial"/>
                <w:sz w:val="20"/>
                <w:szCs w:val="20"/>
              </w:rPr>
              <w:t>35 ppm</w:t>
            </w:r>
          </w:p>
        </w:tc>
        <w:tc>
          <w:tcPr>
            <w:tcW w:w="1440" w:type="dxa"/>
            <w:vAlign w:val="center"/>
          </w:tcPr>
          <w:p w:rsidR="00CA3125" w:rsidRPr="00866BE0" w:rsidRDefault="00BE029E" w:rsidP="009A391D">
            <w:pPr>
              <w:jc w:val="center"/>
              <w:rPr>
                <w:rFonts w:cs="Arial"/>
                <w:sz w:val="20"/>
                <w:szCs w:val="20"/>
              </w:rPr>
            </w:pPr>
            <w:r>
              <w:rPr>
                <w:rFonts w:cs="Arial"/>
                <w:sz w:val="20"/>
                <w:szCs w:val="20"/>
              </w:rPr>
              <w:fldChar w:fldCharType="begin">
                <w:ffData>
                  <w:name w:val=""/>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vAlign w:val="center"/>
          </w:tcPr>
          <w:p w:rsidR="00CA3125"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7594E" w:rsidRPr="00866BE0" w:rsidTr="0057594E">
        <w:trPr>
          <w:cantSplit/>
        </w:trPr>
        <w:tc>
          <w:tcPr>
            <w:tcW w:w="1435" w:type="dxa"/>
            <w:vAlign w:val="center"/>
          </w:tcPr>
          <w:p w:rsidR="00CA3125" w:rsidRPr="0006249E" w:rsidRDefault="00CA3125" w:rsidP="0057594E">
            <w:pPr>
              <w:ind w:left="248" w:right="-106"/>
              <w:rPr>
                <w:rFonts w:cs="Arial"/>
                <w:b/>
                <w:sz w:val="20"/>
                <w:szCs w:val="20"/>
              </w:rPr>
            </w:pPr>
            <w:r w:rsidRPr="0006249E">
              <w:rPr>
                <w:rFonts w:cs="Arial"/>
                <w:b/>
                <w:sz w:val="20"/>
                <w:szCs w:val="20"/>
              </w:rPr>
              <w:t>CO</w:t>
            </w:r>
          </w:p>
        </w:tc>
        <w:tc>
          <w:tcPr>
            <w:tcW w:w="1260" w:type="dxa"/>
            <w:vAlign w:val="center"/>
          </w:tcPr>
          <w:p w:rsidR="00CA3125" w:rsidRPr="00866BE0" w:rsidRDefault="00CA3125" w:rsidP="009A391D">
            <w:pPr>
              <w:jc w:val="center"/>
              <w:rPr>
                <w:rFonts w:cs="Arial"/>
                <w:sz w:val="20"/>
                <w:szCs w:val="20"/>
              </w:rPr>
            </w:pPr>
            <w:r w:rsidRPr="00866BE0">
              <w:rPr>
                <w:rFonts w:cs="Arial"/>
                <w:sz w:val="20"/>
                <w:szCs w:val="20"/>
              </w:rPr>
              <w:t>8 hours</w:t>
            </w:r>
          </w:p>
        </w:tc>
        <w:tc>
          <w:tcPr>
            <w:tcW w:w="1440" w:type="dxa"/>
            <w:vAlign w:val="center"/>
          </w:tcPr>
          <w:p w:rsidR="00CA3125" w:rsidRPr="00866BE0" w:rsidRDefault="00CA3125" w:rsidP="009A391D">
            <w:pPr>
              <w:jc w:val="center"/>
              <w:rPr>
                <w:rFonts w:cs="Arial"/>
                <w:sz w:val="20"/>
                <w:szCs w:val="20"/>
              </w:rPr>
            </w:pPr>
            <w:r w:rsidRPr="00866BE0">
              <w:rPr>
                <w:rFonts w:cs="Arial"/>
                <w:sz w:val="20"/>
                <w:szCs w:val="20"/>
              </w:rPr>
              <w:t>9.0 ppm</w:t>
            </w:r>
          </w:p>
        </w:tc>
        <w:tc>
          <w:tcPr>
            <w:tcW w:w="2070" w:type="dxa"/>
            <w:vAlign w:val="center"/>
          </w:tcPr>
          <w:p w:rsidR="00CA3125" w:rsidRPr="00866BE0" w:rsidRDefault="00CA3125" w:rsidP="009A391D">
            <w:pPr>
              <w:jc w:val="center"/>
              <w:rPr>
                <w:rFonts w:cs="Arial"/>
                <w:sz w:val="20"/>
                <w:szCs w:val="20"/>
              </w:rPr>
            </w:pPr>
            <w:r w:rsidRPr="00866BE0">
              <w:rPr>
                <w:rFonts w:cs="Arial"/>
                <w:sz w:val="20"/>
                <w:szCs w:val="20"/>
              </w:rPr>
              <w:t>9 ppm</w:t>
            </w:r>
          </w:p>
        </w:tc>
        <w:tc>
          <w:tcPr>
            <w:tcW w:w="1440" w:type="dxa"/>
            <w:vAlign w:val="center"/>
          </w:tcPr>
          <w:p w:rsidR="00CA3125"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vAlign w:val="center"/>
          </w:tcPr>
          <w:p w:rsidR="00CA3125"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7594E" w:rsidRPr="00866BE0" w:rsidTr="0057594E">
        <w:trPr>
          <w:cantSplit/>
        </w:trPr>
        <w:tc>
          <w:tcPr>
            <w:tcW w:w="1435" w:type="dxa"/>
            <w:vAlign w:val="center"/>
          </w:tcPr>
          <w:p w:rsidR="00CA3125" w:rsidRPr="0006249E" w:rsidRDefault="00CA3125" w:rsidP="0057594E">
            <w:pPr>
              <w:ind w:left="248" w:right="-106"/>
              <w:rPr>
                <w:rFonts w:cs="Arial"/>
                <w:b/>
                <w:sz w:val="20"/>
                <w:szCs w:val="20"/>
              </w:rPr>
            </w:pPr>
            <w:r w:rsidRPr="0006249E">
              <w:rPr>
                <w:rFonts w:cs="Arial"/>
                <w:b/>
                <w:sz w:val="20"/>
                <w:szCs w:val="20"/>
              </w:rPr>
              <w:t>CO</w:t>
            </w:r>
          </w:p>
        </w:tc>
        <w:tc>
          <w:tcPr>
            <w:tcW w:w="1260" w:type="dxa"/>
            <w:vAlign w:val="center"/>
          </w:tcPr>
          <w:p w:rsidR="00CA3125" w:rsidRPr="00866BE0" w:rsidRDefault="00866BE0" w:rsidP="009A391D">
            <w:pPr>
              <w:jc w:val="center"/>
              <w:rPr>
                <w:rFonts w:cs="Arial"/>
                <w:sz w:val="20"/>
                <w:szCs w:val="20"/>
              </w:rPr>
            </w:pPr>
            <w:r w:rsidRPr="00866BE0">
              <w:rPr>
                <w:rFonts w:cs="Arial"/>
                <w:sz w:val="20"/>
                <w:szCs w:val="20"/>
              </w:rPr>
              <w:t>8 hours</w:t>
            </w:r>
            <w:r w:rsidRPr="00866BE0">
              <w:rPr>
                <w:rFonts w:cs="Arial"/>
                <w:sz w:val="20"/>
                <w:szCs w:val="20"/>
              </w:rPr>
              <w:br/>
              <w:t>(Lake Tahoe)</w:t>
            </w:r>
          </w:p>
        </w:tc>
        <w:tc>
          <w:tcPr>
            <w:tcW w:w="1440" w:type="dxa"/>
            <w:vAlign w:val="center"/>
          </w:tcPr>
          <w:p w:rsidR="00CA3125" w:rsidRPr="00866BE0" w:rsidRDefault="00866BE0" w:rsidP="009A391D">
            <w:pPr>
              <w:jc w:val="center"/>
              <w:rPr>
                <w:rFonts w:cs="Arial"/>
                <w:sz w:val="20"/>
                <w:szCs w:val="20"/>
              </w:rPr>
            </w:pPr>
            <w:r w:rsidRPr="00866BE0">
              <w:rPr>
                <w:rFonts w:cs="Arial"/>
                <w:sz w:val="20"/>
                <w:szCs w:val="20"/>
              </w:rPr>
              <w:t>6 ppm</w:t>
            </w:r>
          </w:p>
        </w:tc>
        <w:tc>
          <w:tcPr>
            <w:tcW w:w="2070" w:type="dxa"/>
            <w:vAlign w:val="center"/>
          </w:tcPr>
          <w:p w:rsidR="00CA3125" w:rsidRPr="00866BE0" w:rsidRDefault="00866BE0" w:rsidP="009A391D">
            <w:pPr>
              <w:jc w:val="center"/>
              <w:rPr>
                <w:rFonts w:cs="Arial"/>
                <w:sz w:val="20"/>
                <w:szCs w:val="20"/>
              </w:rPr>
            </w:pPr>
            <w:r>
              <w:rPr>
                <w:rFonts w:cs="Arial"/>
                <w:sz w:val="20"/>
                <w:szCs w:val="20"/>
              </w:rPr>
              <w:t>N/A</w:t>
            </w:r>
          </w:p>
        </w:tc>
        <w:tc>
          <w:tcPr>
            <w:tcW w:w="1440" w:type="dxa"/>
            <w:vAlign w:val="center"/>
          </w:tcPr>
          <w:p w:rsidR="00CA3125"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vAlign w:val="center"/>
          </w:tcPr>
          <w:p w:rsidR="00CA3125" w:rsidRPr="00866BE0" w:rsidRDefault="00866BE0" w:rsidP="009A391D">
            <w:pPr>
              <w:jc w:val="center"/>
              <w:rPr>
                <w:rFonts w:cs="Arial"/>
                <w:sz w:val="20"/>
                <w:szCs w:val="20"/>
              </w:rPr>
            </w:pPr>
            <w:r>
              <w:rPr>
                <w:rFonts w:cs="Arial"/>
                <w:sz w:val="20"/>
                <w:szCs w:val="20"/>
              </w:rPr>
              <w:t>N/A</w:t>
            </w:r>
          </w:p>
        </w:tc>
      </w:tr>
      <w:tr w:rsidR="0057594E" w:rsidRPr="00866BE0" w:rsidTr="0057594E">
        <w:trPr>
          <w:cantSplit/>
        </w:trPr>
        <w:tc>
          <w:tcPr>
            <w:tcW w:w="1435" w:type="dxa"/>
            <w:shd w:val="clear" w:color="auto" w:fill="F2F2F2" w:themeFill="background1" w:themeFillShade="F2"/>
            <w:vAlign w:val="center"/>
          </w:tcPr>
          <w:p w:rsidR="00CA3125" w:rsidRPr="0006249E" w:rsidRDefault="00F97B28" w:rsidP="0057594E">
            <w:pPr>
              <w:ind w:left="248" w:right="-106"/>
              <w:rPr>
                <w:rFonts w:cs="Arial"/>
                <w:b/>
                <w:sz w:val="20"/>
                <w:szCs w:val="20"/>
              </w:rPr>
            </w:pPr>
            <w:r w:rsidRPr="0006249E">
              <w:rPr>
                <w:rFonts w:cs="Arial"/>
                <w:b/>
                <w:sz w:val="20"/>
                <w:szCs w:val="20"/>
              </w:rPr>
              <w:t>PM</w:t>
            </w:r>
            <w:r w:rsidRPr="0006249E">
              <w:rPr>
                <w:rFonts w:cs="Arial"/>
                <w:b/>
                <w:sz w:val="20"/>
                <w:szCs w:val="20"/>
                <w:vertAlign w:val="subscript"/>
              </w:rPr>
              <w:t>10</w:t>
            </w:r>
            <w:bookmarkStart w:id="2" w:name="_Ref40972272"/>
            <w:r w:rsidR="00F377B8">
              <w:rPr>
                <w:rFonts w:cs="Arial"/>
                <w:b/>
                <w:sz w:val="20"/>
                <w:szCs w:val="20"/>
                <w:vertAlign w:val="subscript"/>
              </w:rPr>
              <w:t xml:space="preserve"> </w:t>
            </w:r>
            <w:r w:rsidRPr="0006249E">
              <w:rPr>
                <w:rStyle w:val="EndnoteReference"/>
                <w:rFonts w:cs="Arial"/>
                <w:b/>
                <w:sz w:val="20"/>
                <w:szCs w:val="20"/>
              </w:rPr>
              <w:endnoteReference w:id="6"/>
            </w:r>
            <w:bookmarkEnd w:id="2"/>
          </w:p>
        </w:tc>
        <w:tc>
          <w:tcPr>
            <w:tcW w:w="1260" w:type="dxa"/>
            <w:shd w:val="clear" w:color="auto" w:fill="F2F2F2" w:themeFill="background1" w:themeFillShade="F2"/>
            <w:vAlign w:val="center"/>
          </w:tcPr>
          <w:p w:rsidR="00CA3125" w:rsidRPr="00866BE0" w:rsidRDefault="00F97B28" w:rsidP="009A391D">
            <w:pPr>
              <w:jc w:val="center"/>
              <w:rPr>
                <w:rFonts w:cs="Arial"/>
                <w:sz w:val="20"/>
                <w:szCs w:val="20"/>
              </w:rPr>
            </w:pPr>
            <w:r>
              <w:rPr>
                <w:rFonts w:cs="Arial"/>
                <w:sz w:val="20"/>
                <w:szCs w:val="20"/>
              </w:rPr>
              <w:t>24 hours</w:t>
            </w:r>
          </w:p>
        </w:tc>
        <w:tc>
          <w:tcPr>
            <w:tcW w:w="1440" w:type="dxa"/>
            <w:shd w:val="clear" w:color="auto" w:fill="F2F2F2" w:themeFill="background1" w:themeFillShade="F2"/>
            <w:vAlign w:val="center"/>
          </w:tcPr>
          <w:p w:rsidR="00CA3125" w:rsidRPr="00F97B28" w:rsidRDefault="00F97B28" w:rsidP="009A391D">
            <w:pPr>
              <w:jc w:val="center"/>
              <w:rPr>
                <w:rFonts w:cs="Arial"/>
                <w:sz w:val="20"/>
                <w:szCs w:val="20"/>
              </w:rPr>
            </w:pPr>
            <w:r>
              <w:rPr>
                <w:rFonts w:cs="Arial"/>
                <w:sz w:val="20"/>
                <w:szCs w:val="20"/>
              </w:rPr>
              <w:t xml:space="preserve">50 </w:t>
            </w:r>
            <w:proofErr w:type="spellStart"/>
            <w:r w:rsidRPr="00F97B28">
              <w:rPr>
                <w:rFonts w:cs="Arial"/>
                <w:sz w:val="20"/>
                <w:szCs w:val="20"/>
              </w:rPr>
              <w:t>μg</w:t>
            </w:r>
            <w:proofErr w:type="spellEnd"/>
            <w:r w:rsidRPr="00F97B28">
              <w:rPr>
                <w:rFonts w:cs="Arial"/>
                <w:sz w:val="20"/>
                <w:szCs w:val="20"/>
              </w:rPr>
              <w:t>/m</w:t>
            </w:r>
            <w:r w:rsidRPr="00F97B28">
              <w:rPr>
                <w:rFonts w:cs="Arial"/>
                <w:sz w:val="20"/>
                <w:szCs w:val="20"/>
                <w:vertAlign w:val="superscript"/>
              </w:rPr>
              <w:t>3</w:t>
            </w:r>
            <w:r>
              <w:rPr>
                <w:rFonts w:cs="Arial"/>
                <w:sz w:val="20"/>
                <w:szCs w:val="20"/>
                <w:vertAlign w:val="superscript"/>
              </w:rPr>
              <w:t xml:space="preserve"> </w:t>
            </w:r>
            <w:r>
              <w:rPr>
                <w:rStyle w:val="EndnoteReference"/>
                <w:rFonts w:cs="Arial"/>
                <w:sz w:val="20"/>
                <w:szCs w:val="20"/>
              </w:rPr>
              <w:endnoteReference w:id="7"/>
            </w:r>
          </w:p>
        </w:tc>
        <w:tc>
          <w:tcPr>
            <w:tcW w:w="2070" w:type="dxa"/>
            <w:shd w:val="clear" w:color="auto" w:fill="F2F2F2" w:themeFill="background1" w:themeFillShade="F2"/>
            <w:vAlign w:val="center"/>
          </w:tcPr>
          <w:p w:rsidR="00CA3125" w:rsidRPr="00450693" w:rsidRDefault="00450693" w:rsidP="009A391D">
            <w:pPr>
              <w:jc w:val="center"/>
              <w:rPr>
                <w:rFonts w:cs="Arial"/>
                <w:sz w:val="20"/>
                <w:szCs w:val="20"/>
              </w:rPr>
            </w:pPr>
            <w:r>
              <w:rPr>
                <w:rFonts w:cs="Arial"/>
                <w:sz w:val="20"/>
                <w:szCs w:val="20"/>
              </w:rPr>
              <w:t xml:space="preserve">150 </w:t>
            </w:r>
            <w:proofErr w:type="spellStart"/>
            <w:r w:rsidR="00B6698F" w:rsidRPr="00B6698F">
              <w:rPr>
                <w:rFonts w:cs="Arial"/>
                <w:sz w:val="20"/>
                <w:szCs w:val="20"/>
              </w:rPr>
              <w:t>μg</w:t>
            </w:r>
            <w:proofErr w:type="spellEnd"/>
            <w:r w:rsidR="00B6698F" w:rsidRPr="00B6698F">
              <w:rPr>
                <w:rFonts w:cs="Arial"/>
                <w:sz w:val="20"/>
                <w:szCs w:val="20"/>
              </w:rPr>
              <w:t>/</w:t>
            </w:r>
            <w:r w:rsidR="00B6698F">
              <w:rPr>
                <w:rFonts w:cs="Arial"/>
                <w:sz w:val="20"/>
                <w:szCs w:val="20"/>
              </w:rPr>
              <w:t>m</w:t>
            </w:r>
            <w:r w:rsidR="00B6698F" w:rsidRPr="00B6698F">
              <w:rPr>
                <w:rFonts w:cs="Arial"/>
                <w:sz w:val="20"/>
                <w:szCs w:val="20"/>
                <w:vertAlign w:val="superscript"/>
              </w:rPr>
              <w:t>3</w:t>
            </w:r>
            <w:r>
              <w:rPr>
                <w:rFonts w:cs="Arial"/>
                <w:sz w:val="20"/>
                <w:szCs w:val="20"/>
              </w:rPr>
              <w:br/>
              <w:t>(expected number of days above stand</w:t>
            </w:r>
            <w:r w:rsidR="009175FF">
              <w:rPr>
                <w:rFonts w:cs="Arial"/>
                <w:sz w:val="20"/>
                <w:szCs w:val="20"/>
              </w:rPr>
              <w:t>ard</w:t>
            </w:r>
            <w:r>
              <w:rPr>
                <w:rFonts w:cs="Arial"/>
                <w:sz w:val="20"/>
                <w:szCs w:val="20"/>
              </w:rPr>
              <w:t xml:space="preserve"> </w:t>
            </w:r>
            <w:r w:rsidR="006F5283">
              <w:rPr>
                <w:rFonts w:cs="Arial"/>
                <w:sz w:val="20"/>
                <w:szCs w:val="20"/>
              </w:rPr>
              <w:t>&lt; or equal to 1)</w:t>
            </w:r>
          </w:p>
        </w:tc>
        <w:tc>
          <w:tcPr>
            <w:tcW w:w="1440" w:type="dxa"/>
            <w:shd w:val="clear" w:color="auto" w:fill="F2F2F2" w:themeFill="background1" w:themeFillShade="F2"/>
            <w:vAlign w:val="center"/>
          </w:tcPr>
          <w:p w:rsidR="00CA3125"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shd w:val="clear" w:color="auto" w:fill="F2F2F2" w:themeFill="background1" w:themeFillShade="F2"/>
            <w:vAlign w:val="center"/>
          </w:tcPr>
          <w:p w:rsidR="00CA3125"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7594E" w:rsidRPr="00866BE0" w:rsidTr="0057594E">
        <w:trPr>
          <w:cantSplit/>
        </w:trPr>
        <w:tc>
          <w:tcPr>
            <w:tcW w:w="1435" w:type="dxa"/>
            <w:shd w:val="clear" w:color="auto" w:fill="F2F2F2" w:themeFill="background1" w:themeFillShade="F2"/>
            <w:vAlign w:val="center"/>
          </w:tcPr>
          <w:p w:rsidR="00CA3125" w:rsidRPr="0006249E" w:rsidRDefault="0006249E" w:rsidP="0057594E">
            <w:pPr>
              <w:ind w:left="248" w:right="-106"/>
              <w:rPr>
                <w:rFonts w:cs="Arial"/>
                <w:b/>
                <w:sz w:val="20"/>
                <w:szCs w:val="20"/>
              </w:rPr>
            </w:pPr>
            <w:r w:rsidRPr="0006249E">
              <w:rPr>
                <w:rFonts w:cs="Arial"/>
                <w:b/>
                <w:sz w:val="20"/>
                <w:szCs w:val="20"/>
              </w:rPr>
              <w:t>PM</w:t>
            </w:r>
            <w:r w:rsidRPr="0006249E">
              <w:rPr>
                <w:rFonts w:cs="Arial"/>
                <w:b/>
                <w:sz w:val="20"/>
                <w:szCs w:val="20"/>
                <w:vertAlign w:val="subscript"/>
              </w:rPr>
              <w:t>10</w:t>
            </w:r>
          </w:p>
        </w:tc>
        <w:tc>
          <w:tcPr>
            <w:tcW w:w="1260" w:type="dxa"/>
            <w:shd w:val="clear" w:color="auto" w:fill="F2F2F2" w:themeFill="background1" w:themeFillShade="F2"/>
            <w:vAlign w:val="center"/>
          </w:tcPr>
          <w:p w:rsidR="00CA3125" w:rsidRPr="00866BE0" w:rsidRDefault="006426A0" w:rsidP="009A391D">
            <w:pPr>
              <w:jc w:val="center"/>
              <w:rPr>
                <w:rFonts w:cs="Arial"/>
                <w:sz w:val="20"/>
                <w:szCs w:val="20"/>
              </w:rPr>
            </w:pPr>
            <w:r>
              <w:rPr>
                <w:rFonts w:cs="Arial"/>
                <w:sz w:val="20"/>
                <w:szCs w:val="20"/>
              </w:rPr>
              <w:t>Annual</w:t>
            </w:r>
          </w:p>
        </w:tc>
        <w:tc>
          <w:tcPr>
            <w:tcW w:w="1440" w:type="dxa"/>
            <w:shd w:val="clear" w:color="auto" w:fill="F2F2F2" w:themeFill="background1" w:themeFillShade="F2"/>
            <w:vAlign w:val="center"/>
          </w:tcPr>
          <w:p w:rsidR="00CA3125" w:rsidRPr="00866BE0" w:rsidRDefault="006426A0" w:rsidP="009A391D">
            <w:pPr>
              <w:jc w:val="center"/>
              <w:rPr>
                <w:rFonts w:cs="Arial"/>
                <w:sz w:val="20"/>
                <w:szCs w:val="20"/>
              </w:rPr>
            </w:pPr>
            <w:r>
              <w:rPr>
                <w:rFonts w:cs="Arial"/>
                <w:sz w:val="20"/>
                <w:szCs w:val="20"/>
              </w:rPr>
              <w:t xml:space="preserve">20 </w:t>
            </w:r>
            <w:proofErr w:type="spellStart"/>
            <w:r w:rsidR="00450693" w:rsidRPr="00B6698F">
              <w:rPr>
                <w:rFonts w:cs="Arial"/>
                <w:sz w:val="20"/>
                <w:szCs w:val="20"/>
              </w:rPr>
              <w:t>μg</w:t>
            </w:r>
            <w:proofErr w:type="spellEnd"/>
            <w:r w:rsidR="00450693" w:rsidRPr="00B6698F">
              <w:rPr>
                <w:rFonts w:cs="Arial"/>
                <w:sz w:val="20"/>
                <w:szCs w:val="20"/>
              </w:rPr>
              <w:t>/</w:t>
            </w:r>
            <w:r w:rsidR="00450693">
              <w:rPr>
                <w:rFonts w:cs="Arial"/>
                <w:sz w:val="20"/>
                <w:szCs w:val="20"/>
              </w:rPr>
              <w:t>m</w:t>
            </w:r>
            <w:r w:rsidR="00450693" w:rsidRPr="00B6698F">
              <w:rPr>
                <w:rFonts w:cs="Arial"/>
                <w:sz w:val="20"/>
                <w:szCs w:val="20"/>
                <w:vertAlign w:val="superscript"/>
              </w:rPr>
              <w:t>3</w:t>
            </w:r>
          </w:p>
        </w:tc>
        <w:tc>
          <w:tcPr>
            <w:tcW w:w="2070" w:type="dxa"/>
            <w:shd w:val="clear" w:color="auto" w:fill="F2F2F2" w:themeFill="background1" w:themeFillShade="F2"/>
            <w:vAlign w:val="center"/>
          </w:tcPr>
          <w:p w:rsidR="00CA3125" w:rsidRPr="00866BE0" w:rsidRDefault="006426A0" w:rsidP="009A391D">
            <w:pPr>
              <w:jc w:val="center"/>
              <w:rPr>
                <w:rFonts w:cs="Arial"/>
                <w:sz w:val="20"/>
                <w:szCs w:val="20"/>
              </w:rPr>
            </w:pPr>
            <w:r>
              <w:rPr>
                <w:rFonts w:cs="Arial"/>
                <w:sz w:val="20"/>
                <w:szCs w:val="20"/>
              </w:rPr>
              <w:t>N/A</w:t>
            </w:r>
          </w:p>
        </w:tc>
        <w:tc>
          <w:tcPr>
            <w:tcW w:w="1440" w:type="dxa"/>
            <w:shd w:val="clear" w:color="auto" w:fill="F2F2F2" w:themeFill="background1" w:themeFillShade="F2"/>
            <w:vAlign w:val="center"/>
          </w:tcPr>
          <w:p w:rsidR="00CA3125"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shd w:val="clear" w:color="auto" w:fill="F2F2F2" w:themeFill="background1" w:themeFillShade="F2"/>
            <w:vAlign w:val="center"/>
          </w:tcPr>
          <w:p w:rsidR="00CA3125" w:rsidRPr="00866BE0" w:rsidRDefault="006426A0" w:rsidP="009A391D">
            <w:pPr>
              <w:jc w:val="center"/>
              <w:rPr>
                <w:rFonts w:cs="Arial"/>
                <w:sz w:val="20"/>
                <w:szCs w:val="20"/>
              </w:rPr>
            </w:pPr>
            <w:r>
              <w:rPr>
                <w:rFonts w:cs="Arial"/>
                <w:sz w:val="20"/>
                <w:szCs w:val="20"/>
              </w:rPr>
              <w:t>N/A</w:t>
            </w:r>
          </w:p>
        </w:tc>
      </w:tr>
      <w:tr w:rsidR="0057594E" w:rsidRPr="00866BE0" w:rsidTr="0057594E">
        <w:trPr>
          <w:cantSplit/>
        </w:trPr>
        <w:tc>
          <w:tcPr>
            <w:tcW w:w="1435" w:type="dxa"/>
            <w:vAlign w:val="center"/>
          </w:tcPr>
          <w:p w:rsidR="005A7058" w:rsidRPr="0006249E" w:rsidRDefault="00252457" w:rsidP="0057594E">
            <w:pPr>
              <w:ind w:left="248" w:right="-106"/>
              <w:rPr>
                <w:rFonts w:cs="Arial"/>
                <w:b/>
                <w:sz w:val="20"/>
                <w:szCs w:val="20"/>
              </w:rPr>
            </w:pPr>
            <w:r>
              <w:rPr>
                <w:rFonts w:cs="Arial"/>
                <w:b/>
                <w:sz w:val="20"/>
                <w:szCs w:val="20"/>
              </w:rPr>
              <w:t>PM</w:t>
            </w:r>
            <w:r w:rsidRPr="00252457">
              <w:rPr>
                <w:rFonts w:cs="Arial"/>
                <w:b/>
                <w:sz w:val="20"/>
                <w:szCs w:val="20"/>
                <w:vertAlign w:val="subscript"/>
              </w:rPr>
              <w:t>2.5</w:t>
            </w:r>
            <w:r w:rsidR="00F377B8">
              <w:rPr>
                <w:rFonts w:cs="Arial"/>
                <w:b/>
                <w:sz w:val="20"/>
                <w:szCs w:val="20"/>
                <w:vertAlign w:val="subscript"/>
              </w:rPr>
              <w:t xml:space="preserve"> </w:t>
            </w:r>
            <w:r w:rsidR="00CC5872">
              <w:rPr>
                <w:rStyle w:val="EndnoteReference"/>
                <w:rFonts w:cs="Arial"/>
                <w:b/>
                <w:sz w:val="20"/>
                <w:szCs w:val="20"/>
              </w:rPr>
              <w:endnoteReference w:id="8"/>
            </w:r>
          </w:p>
        </w:tc>
        <w:tc>
          <w:tcPr>
            <w:tcW w:w="1260" w:type="dxa"/>
            <w:vAlign w:val="center"/>
          </w:tcPr>
          <w:p w:rsidR="005A7058" w:rsidRPr="00866BE0" w:rsidRDefault="006426A0" w:rsidP="009A391D">
            <w:pPr>
              <w:jc w:val="center"/>
              <w:rPr>
                <w:rFonts w:cs="Arial"/>
                <w:sz w:val="20"/>
                <w:szCs w:val="20"/>
              </w:rPr>
            </w:pPr>
            <w:r>
              <w:rPr>
                <w:rFonts w:cs="Arial"/>
                <w:sz w:val="20"/>
                <w:szCs w:val="20"/>
              </w:rPr>
              <w:t>24 hours</w:t>
            </w:r>
          </w:p>
        </w:tc>
        <w:tc>
          <w:tcPr>
            <w:tcW w:w="1440" w:type="dxa"/>
            <w:vAlign w:val="center"/>
          </w:tcPr>
          <w:p w:rsidR="005A7058" w:rsidRPr="00866BE0" w:rsidRDefault="006426A0" w:rsidP="009A391D">
            <w:pPr>
              <w:jc w:val="center"/>
              <w:rPr>
                <w:rFonts w:cs="Arial"/>
                <w:sz w:val="20"/>
                <w:szCs w:val="20"/>
              </w:rPr>
            </w:pPr>
            <w:r>
              <w:rPr>
                <w:rFonts w:cs="Arial"/>
                <w:sz w:val="20"/>
                <w:szCs w:val="20"/>
              </w:rPr>
              <w:t>N/A</w:t>
            </w:r>
          </w:p>
        </w:tc>
        <w:tc>
          <w:tcPr>
            <w:tcW w:w="2070" w:type="dxa"/>
            <w:vAlign w:val="center"/>
          </w:tcPr>
          <w:p w:rsidR="005A7058" w:rsidRPr="00866BE0" w:rsidRDefault="006426A0" w:rsidP="009A391D">
            <w:pPr>
              <w:jc w:val="center"/>
              <w:rPr>
                <w:rFonts w:cs="Arial"/>
                <w:sz w:val="20"/>
                <w:szCs w:val="20"/>
              </w:rPr>
            </w:pPr>
            <w:r>
              <w:rPr>
                <w:rFonts w:cs="Arial"/>
                <w:sz w:val="20"/>
                <w:szCs w:val="20"/>
              </w:rPr>
              <w:t xml:space="preserve">35 </w:t>
            </w:r>
            <w:proofErr w:type="spellStart"/>
            <w:r w:rsidR="00450693" w:rsidRPr="00B6698F">
              <w:rPr>
                <w:rFonts w:cs="Arial"/>
                <w:sz w:val="20"/>
                <w:szCs w:val="20"/>
              </w:rPr>
              <w:t>μg</w:t>
            </w:r>
            <w:proofErr w:type="spellEnd"/>
            <w:r w:rsidR="00450693" w:rsidRPr="00B6698F">
              <w:rPr>
                <w:rFonts w:cs="Arial"/>
                <w:sz w:val="20"/>
                <w:szCs w:val="20"/>
              </w:rPr>
              <w:t>/</w:t>
            </w:r>
            <w:r w:rsidR="00450693">
              <w:rPr>
                <w:rFonts w:cs="Arial"/>
                <w:sz w:val="20"/>
                <w:szCs w:val="20"/>
              </w:rPr>
              <w:t>m</w:t>
            </w:r>
            <w:r w:rsidR="00450693" w:rsidRPr="00B6698F">
              <w:rPr>
                <w:rFonts w:cs="Arial"/>
                <w:sz w:val="20"/>
                <w:szCs w:val="20"/>
                <w:vertAlign w:val="superscript"/>
              </w:rPr>
              <w:t>3</w:t>
            </w:r>
            <w:r w:rsidR="00CC5872">
              <w:rPr>
                <w:rFonts w:cs="Arial"/>
                <w:sz w:val="20"/>
                <w:szCs w:val="20"/>
                <w:vertAlign w:val="superscript"/>
              </w:rPr>
              <w:t xml:space="preserve"> </w:t>
            </w:r>
            <w:r w:rsidR="00842F9A">
              <w:rPr>
                <w:rFonts w:cs="Arial"/>
                <w:sz w:val="20"/>
                <w:szCs w:val="20"/>
                <w:vertAlign w:val="superscript"/>
              </w:rPr>
              <w:fldChar w:fldCharType="begin"/>
            </w:r>
            <w:r w:rsidR="00842F9A">
              <w:rPr>
                <w:rFonts w:cs="Arial"/>
                <w:sz w:val="20"/>
                <w:szCs w:val="20"/>
                <w:vertAlign w:val="superscript"/>
              </w:rPr>
              <w:instrText xml:space="preserve"> NOTEREF _Ref40972272 \h </w:instrText>
            </w:r>
            <w:r w:rsidR="00842F9A">
              <w:rPr>
                <w:rFonts w:cs="Arial"/>
                <w:sz w:val="20"/>
                <w:szCs w:val="20"/>
                <w:vertAlign w:val="superscript"/>
              </w:rPr>
            </w:r>
            <w:r w:rsidR="00842F9A">
              <w:rPr>
                <w:rFonts w:cs="Arial"/>
                <w:sz w:val="20"/>
                <w:szCs w:val="20"/>
                <w:vertAlign w:val="superscript"/>
              </w:rPr>
              <w:fldChar w:fldCharType="separate"/>
            </w:r>
            <w:r w:rsidR="002A613B">
              <w:rPr>
                <w:rFonts w:cs="Arial"/>
                <w:sz w:val="20"/>
                <w:szCs w:val="20"/>
                <w:vertAlign w:val="superscript"/>
              </w:rPr>
              <w:t>vi</w:t>
            </w:r>
            <w:r w:rsidR="00842F9A">
              <w:rPr>
                <w:rFonts w:cs="Arial"/>
                <w:sz w:val="20"/>
                <w:szCs w:val="20"/>
                <w:vertAlign w:val="superscript"/>
              </w:rPr>
              <w:fldChar w:fldCharType="end"/>
            </w:r>
          </w:p>
        </w:tc>
        <w:tc>
          <w:tcPr>
            <w:tcW w:w="1440" w:type="dxa"/>
            <w:vAlign w:val="center"/>
          </w:tcPr>
          <w:p w:rsidR="005A7058" w:rsidRPr="00866BE0" w:rsidRDefault="006426A0" w:rsidP="009A391D">
            <w:pPr>
              <w:jc w:val="center"/>
              <w:rPr>
                <w:rFonts w:cs="Arial"/>
                <w:sz w:val="20"/>
                <w:szCs w:val="20"/>
              </w:rPr>
            </w:pPr>
            <w:r>
              <w:rPr>
                <w:rFonts w:cs="Arial"/>
                <w:sz w:val="20"/>
                <w:szCs w:val="20"/>
              </w:rPr>
              <w:t>N/A</w:t>
            </w:r>
          </w:p>
        </w:tc>
        <w:tc>
          <w:tcPr>
            <w:tcW w:w="1440" w:type="dxa"/>
            <w:vAlign w:val="center"/>
          </w:tcPr>
          <w:p w:rsidR="005A7058"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7594E" w:rsidRPr="00866BE0" w:rsidTr="0057594E">
        <w:trPr>
          <w:cantSplit/>
        </w:trPr>
        <w:tc>
          <w:tcPr>
            <w:tcW w:w="1435" w:type="dxa"/>
            <w:vAlign w:val="center"/>
          </w:tcPr>
          <w:p w:rsidR="005A7058" w:rsidRPr="0006249E" w:rsidRDefault="0056334C" w:rsidP="0057594E">
            <w:pPr>
              <w:ind w:left="248" w:right="-106"/>
              <w:rPr>
                <w:rFonts w:cs="Arial"/>
                <w:b/>
                <w:sz w:val="20"/>
                <w:szCs w:val="20"/>
              </w:rPr>
            </w:pPr>
            <w:r>
              <w:rPr>
                <w:rFonts w:cs="Arial"/>
                <w:b/>
                <w:sz w:val="20"/>
                <w:szCs w:val="20"/>
              </w:rPr>
              <w:t>PM</w:t>
            </w:r>
            <w:r w:rsidRPr="00252457">
              <w:rPr>
                <w:rFonts w:cs="Arial"/>
                <w:b/>
                <w:sz w:val="20"/>
                <w:szCs w:val="20"/>
                <w:vertAlign w:val="subscript"/>
              </w:rPr>
              <w:t>2.5</w:t>
            </w:r>
          </w:p>
        </w:tc>
        <w:tc>
          <w:tcPr>
            <w:tcW w:w="1260" w:type="dxa"/>
            <w:vAlign w:val="center"/>
          </w:tcPr>
          <w:p w:rsidR="005A7058" w:rsidRPr="00866BE0" w:rsidRDefault="006426A0" w:rsidP="009A391D">
            <w:pPr>
              <w:jc w:val="center"/>
              <w:rPr>
                <w:rFonts w:cs="Arial"/>
                <w:sz w:val="20"/>
                <w:szCs w:val="20"/>
              </w:rPr>
            </w:pPr>
            <w:r>
              <w:rPr>
                <w:rFonts w:cs="Arial"/>
                <w:sz w:val="20"/>
                <w:szCs w:val="20"/>
              </w:rPr>
              <w:t>Annual</w:t>
            </w:r>
          </w:p>
        </w:tc>
        <w:tc>
          <w:tcPr>
            <w:tcW w:w="1440" w:type="dxa"/>
            <w:vAlign w:val="center"/>
          </w:tcPr>
          <w:p w:rsidR="005A7058" w:rsidRPr="00866BE0" w:rsidRDefault="006426A0" w:rsidP="009A391D">
            <w:pPr>
              <w:jc w:val="center"/>
              <w:rPr>
                <w:rFonts w:cs="Arial"/>
                <w:sz w:val="20"/>
                <w:szCs w:val="20"/>
              </w:rPr>
            </w:pPr>
            <w:r>
              <w:rPr>
                <w:rFonts w:cs="Arial"/>
                <w:sz w:val="20"/>
                <w:szCs w:val="20"/>
              </w:rPr>
              <w:t xml:space="preserve">12 </w:t>
            </w:r>
            <w:proofErr w:type="spellStart"/>
            <w:r w:rsidR="00450693" w:rsidRPr="00B6698F">
              <w:rPr>
                <w:rFonts w:cs="Arial"/>
                <w:sz w:val="20"/>
                <w:szCs w:val="20"/>
              </w:rPr>
              <w:t>μg</w:t>
            </w:r>
            <w:proofErr w:type="spellEnd"/>
            <w:r w:rsidR="00450693" w:rsidRPr="00B6698F">
              <w:rPr>
                <w:rFonts w:cs="Arial"/>
                <w:sz w:val="20"/>
                <w:szCs w:val="20"/>
              </w:rPr>
              <w:t>/</w:t>
            </w:r>
            <w:r w:rsidR="00450693">
              <w:rPr>
                <w:rFonts w:cs="Arial"/>
                <w:sz w:val="20"/>
                <w:szCs w:val="20"/>
              </w:rPr>
              <w:t>m</w:t>
            </w:r>
            <w:r w:rsidR="00450693" w:rsidRPr="00B6698F">
              <w:rPr>
                <w:rFonts w:cs="Arial"/>
                <w:sz w:val="20"/>
                <w:szCs w:val="20"/>
                <w:vertAlign w:val="superscript"/>
              </w:rPr>
              <w:t>3</w:t>
            </w:r>
          </w:p>
        </w:tc>
        <w:tc>
          <w:tcPr>
            <w:tcW w:w="2070" w:type="dxa"/>
            <w:vAlign w:val="center"/>
          </w:tcPr>
          <w:p w:rsidR="005A7058" w:rsidRPr="00866BE0" w:rsidRDefault="006426A0" w:rsidP="009A391D">
            <w:pPr>
              <w:jc w:val="center"/>
              <w:rPr>
                <w:rFonts w:cs="Arial"/>
                <w:sz w:val="20"/>
                <w:szCs w:val="20"/>
              </w:rPr>
            </w:pPr>
            <w:r>
              <w:rPr>
                <w:rFonts w:cs="Arial"/>
                <w:sz w:val="20"/>
                <w:szCs w:val="20"/>
              </w:rPr>
              <w:t xml:space="preserve">12.0 </w:t>
            </w:r>
            <w:proofErr w:type="spellStart"/>
            <w:r w:rsidR="00450693" w:rsidRPr="00B6698F">
              <w:rPr>
                <w:rFonts w:cs="Arial"/>
                <w:sz w:val="20"/>
                <w:szCs w:val="20"/>
              </w:rPr>
              <w:t>μg</w:t>
            </w:r>
            <w:proofErr w:type="spellEnd"/>
            <w:r w:rsidR="00450693" w:rsidRPr="00B6698F">
              <w:rPr>
                <w:rFonts w:cs="Arial"/>
                <w:sz w:val="20"/>
                <w:szCs w:val="20"/>
              </w:rPr>
              <w:t>/</w:t>
            </w:r>
            <w:r w:rsidR="00450693">
              <w:rPr>
                <w:rFonts w:cs="Arial"/>
                <w:sz w:val="20"/>
                <w:szCs w:val="20"/>
              </w:rPr>
              <w:t>m</w:t>
            </w:r>
            <w:r w:rsidR="00450693" w:rsidRPr="00B6698F">
              <w:rPr>
                <w:rFonts w:cs="Arial"/>
                <w:sz w:val="20"/>
                <w:szCs w:val="20"/>
                <w:vertAlign w:val="superscript"/>
              </w:rPr>
              <w:t>3</w:t>
            </w:r>
          </w:p>
        </w:tc>
        <w:tc>
          <w:tcPr>
            <w:tcW w:w="1440" w:type="dxa"/>
            <w:vAlign w:val="center"/>
          </w:tcPr>
          <w:p w:rsidR="005A7058"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vAlign w:val="center"/>
          </w:tcPr>
          <w:p w:rsidR="005A7058"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A391D" w:rsidRPr="00866BE0" w:rsidTr="0057594E">
        <w:trPr>
          <w:cantSplit/>
        </w:trPr>
        <w:tc>
          <w:tcPr>
            <w:tcW w:w="1435" w:type="dxa"/>
            <w:shd w:val="clear" w:color="auto" w:fill="F2F2F2" w:themeFill="background1" w:themeFillShade="F2"/>
            <w:vAlign w:val="center"/>
          </w:tcPr>
          <w:p w:rsidR="005A7058" w:rsidRPr="0006249E" w:rsidRDefault="00FB555C" w:rsidP="0057594E">
            <w:pPr>
              <w:ind w:left="248" w:right="-106"/>
              <w:rPr>
                <w:rFonts w:cs="Arial"/>
                <w:b/>
                <w:sz w:val="20"/>
                <w:szCs w:val="20"/>
              </w:rPr>
            </w:pPr>
            <w:r>
              <w:rPr>
                <w:rFonts w:cs="Arial"/>
                <w:b/>
                <w:sz w:val="20"/>
                <w:szCs w:val="20"/>
              </w:rPr>
              <w:t>NO</w:t>
            </w:r>
            <w:r w:rsidRPr="00FB555C">
              <w:rPr>
                <w:rFonts w:cs="Arial"/>
                <w:b/>
                <w:sz w:val="20"/>
                <w:szCs w:val="20"/>
                <w:vertAlign w:val="subscript"/>
              </w:rPr>
              <w:t>2</w:t>
            </w:r>
          </w:p>
        </w:tc>
        <w:tc>
          <w:tcPr>
            <w:tcW w:w="1260" w:type="dxa"/>
            <w:shd w:val="clear" w:color="auto" w:fill="F2F2F2" w:themeFill="background1" w:themeFillShade="F2"/>
            <w:vAlign w:val="center"/>
          </w:tcPr>
          <w:p w:rsidR="005A7058" w:rsidRPr="00866BE0" w:rsidRDefault="006426A0" w:rsidP="009A391D">
            <w:pPr>
              <w:jc w:val="center"/>
              <w:rPr>
                <w:rFonts w:cs="Arial"/>
                <w:sz w:val="20"/>
                <w:szCs w:val="20"/>
              </w:rPr>
            </w:pPr>
            <w:r>
              <w:rPr>
                <w:rFonts w:cs="Arial"/>
                <w:sz w:val="20"/>
                <w:szCs w:val="20"/>
              </w:rPr>
              <w:t>1 hour</w:t>
            </w:r>
          </w:p>
        </w:tc>
        <w:tc>
          <w:tcPr>
            <w:tcW w:w="1440" w:type="dxa"/>
            <w:shd w:val="clear" w:color="auto" w:fill="F2F2F2" w:themeFill="background1" w:themeFillShade="F2"/>
            <w:vAlign w:val="center"/>
          </w:tcPr>
          <w:p w:rsidR="005A7058" w:rsidRPr="00866BE0" w:rsidRDefault="006426A0" w:rsidP="009A391D">
            <w:pPr>
              <w:jc w:val="center"/>
              <w:rPr>
                <w:rFonts w:cs="Arial"/>
                <w:sz w:val="20"/>
                <w:szCs w:val="20"/>
              </w:rPr>
            </w:pPr>
            <w:r>
              <w:rPr>
                <w:rFonts w:cs="Arial"/>
                <w:sz w:val="20"/>
                <w:szCs w:val="20"/>
              </w:rPr>
              <w:t>0.18 ppm</w:t>
            </w:r>
          </w:p>
        </w:tc>
        <w:tc>
          <w:tcPr>
            <w:tcW w:w="2070" w:type="dxa"/>
            <w:shd w:val="clear" w:color="auto" w:fill="F2F2F2" w:themeFill="background1" w:themeFillShade="F2"/>
            <w:vAlign w:val="center"/>
          </w:tcPr>
          <w:p w:rsidR="005A7058" w:rsidRPr="00866BE0" w:rsidRDefault="006426A0" w:rsidP="009A391D">
            <w:pPr>
              <w:jc w:val="center"/>
              <w:rPr>
                <w:rFonts w:cs="Arial"/>
                <w:sz w:val="20"/>
                <w:szCs w:val="20"/>
              </w:rPr>
            </w:pPr>
            <w:r>
              <w:rPr>
                <w:rFonts w:cs="Arial"/>
                <w:sz w:val="20"/>
                <w:szCs w:val="20"/>
              </w:rPr>
              <w:t>0.100 ppm</w:t>
            </w:r>
            <w:r w:rsidR="005C72A7">
              <w:rPr>
                <w:rFonts w:cs="Arial"/>
                <w:sz w:val="20"/>
                <w:szCs w:val="20"/>
              </w:rPr>
              <w:t xml:space="preserve"> </w:t>
            </w:r>
            <w:r w:rsidR="00CC5872">
              <w:rPr>
                <w:rStyle w:val="EndnoteReference"/>
                <w:rFonts w:cs="Arial"/>
                <w:sz w:val="20"/>
                <w:szCs w:val="20"/>
              </w:rPr>
              <w:endnoteReference w:id="9"/>
            </w:r>
          </w:p>
        </w:tc>
        <w:tc>
          <w:tcPr>
            <w:tcW w:w="1440" w:type="dxa"/>
            <w:shd w:val="clear" w:color="auto" w:fill="F2F2F2" w:themeFill="background1" w:themeFillShade="F2"/>
            <w:vAlign w:val="center"/>
          </w:tcPr>
          <w:p w:rsidR="005A7058"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shd w:val="clear" w:color="auto" w:fill="F2F2F2" w:themeFill="background1" w:themeFillShade="F2"/>
            <w:vAlign w:val="center"/>
          </w:tcPr>
          <w:p w:rsidR="005A7058"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9A391D" w:rsidRPr="00866BE0" w:rsidTr="0057594E">
        <w:trPr>
          <w:cantSplit/>
        </w:trPr>
        <w:tc>
          <w:tcPr>
            <w:tcW w:w="1435" w:type="dxa"/>
            <w:shd w:val="clear" w:color="auto" w:fill="F2F2F2" w:themeFill="background1" w:themeFillShade="F2"/>
            <w:vAlign w:val="center"/>
          </w:tcPr>
          <w:p w:rsidR="005A7058" w:rsidRPr="0006249E" w:rsidRDefault="00FB555C" w:rsidP="0057594E">
            <w:pPr>
              <w:ind w:left="248" w:right="-106"/>
              <w:rPr>
                <w:rFonts w:cs="Arial"/>
                <w:b/>
                <w:sz w:val="20"/>
                <w:szCs w:val="20"/>
              </w:rPr>
            </w:pPr>
            <w:r>
              <w:rPr>
                <w:rFonts w:cs="Arial"/>
                <w:b/>
                <w:sz w:val="20"/>
                <w:szCs w:val="20"/>
              </w:rPr>
              <w:t>NO</w:t>
            </w:r>
            <w:r w:rsidRPr="00FB555C">
              <w:rPr>
                <w:rFonts w:cs="Arial"/>
                <w:b/>
                <w:sz w:val="20"/>
                <w:szCs w:val="20"/>
                <w:vertAlign w:val="subscript"/>
              </w:rPr>
              <w:t>2</w:t>
            </w:r>
          </w:p>
        </w:tc>
        <w:tc>
          <w:tcPr>
            <w:tcW w:w="1260" w:type="dxa"/>
            <w:shd w:val="clear" w:color="auto" w:fill="F2F2F2" w:themeFill="background1" w:themeFillShade="F2"/>
            <w:vAlign w:val="center"/>
          </w:tcPr>
          <w:p w:rsidR="005A7058" w:rsidRPr="00866BE0" w:rsidRDefault="006426A0" w:rsidP="009A391D">
            <w:pPr>
              <w:jc w:val="center"/>
              <w:rPr>
                <w:rFonts w:cs="Arial"/>
                <w:sz w:val="20"/>
                <w:szCs w:val="20"/>
              </w:rPr>
            </w:pPr>
            <w:r>
              <w:rPr>
                <w:rFonts w:cs="Arial"/>
                <w:sz w:val="20"/>
                <w:szCs w:val="20"/>
              </w:rPr>
              <w:t>Annual</w:t>
            </w:r>
          </w:p>
        </w:tc>
        <w:tc>
          <w:tcPr>
            <w:tcW w:w="1440" w:type="dxa"/>
            <w:shd w:val="clear" w:color="auto" w:fill="F2F2F2" w:themeFill="background1" w:themeFillShade="F2"/>
            <w:vAlign w:val="center"/>
          </w:tcPr>
          <w:p w:rsidR="005A7058" w:rsidRPr="00866BE0" w:rsidRDefault="006426A0" w:rsidP="009A391D">
            <w:pPr>
              <w:jc w:val="center"/>
              <w:rPr>
                <w:rFonts w:cs="Arial"/>
                <w:sz w:val="20"/>
                <w:szCs w:val="20"/>
              </w:rPr>
            </w:pPr>
            <w:r>
              <w:rPr>
                <w:rFonts w:cs="Arial"/>
                <w:sz w:val="20"/>
                <w:szCs w:val="20"/>
              </w:rPr>
              <w:t>0.030 ppm</w:t>
            </w:r>
          </w:p>
        </w:tc>
        <w:tc>
          <w:tcPr>
            <w:tcW w:w="2070" w:type="dxa"/>
            <w:shd w:val="clear" w:color="auto" w:fill="F2F2F2" w:themeFill="background1" w:themeFillShade="F2"/>
            <w:vAlign w:val="center"/>
          </w:tcPr>
          <w:p w:rsidR="005A7058" w:rsidRPr="00866BE0" w:rsidRDefault="006426A0" w:rsidP="009A391D">
            <w:pPr>
              <w:jc w:val="center"/>
              <w:rPr>
                <w:rFonts w:cs="Arial"/>
                <w:sz w:val="20"/>
                <w:szCs w:val="20"/>
              </w:rPr>
            </w:pPr>
            <w:r>
              <w:rPr>
                <w:rFonts w:cs="Arial"/>
                <w:sz w:val="20"/>
                <w:szCs w:val="20"/>
              </w:rPr>
              <w:t>0.053 ppm</w:t>
            </w:r>
          </w:p>
        </w:tc>
        <w:tc>
          <w:tcPr>
            <w:tcW w:w="1440" w:type="dxa"/>
            <w:shd w:val="clear" w:color="auto" w:fill="F2F2F2" w:themeFill="background1" w:themeFillShade="F2"/>
            <w:vAlign w:val="center"/>
          </w:tcPr>
          <w:p w:rsidR="005A7058"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shd w:val="clear" w:color="auto" w:fill="F2F2F2" w:themeFill="background1" w:themeFillShade="F2"/>
            <w:vAlign w:val="center"/>
          </w:tcPr>
          <w:p w:rsidR="005A7058"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7594E" w:rsidRPr="00866BE0" w:rsidTr="0057594E">
        <w:trPr>
          <w:cantSplit/>
        </w:trPr>
        <w:tc>
          <w:tcPr>
            <w:tcW w:w="1435" w:type="dxa"/>
            <w:vAlign w:val="center"/>
          </w:tcPr>
          <w:p w:rsidR="005A7058" w:rsidRPr="0006249E" w:rsidRDefault="00FB555C" w:rsidP="0057594E">
            <w:pPr>
              <w:ind w:left="248" w:right="-106"/>
              <w:rPr>
                <w:rFonts w:cs="Arial"/>
                <w:b/>
                <w:sz w:val="20"/>
                <w:szCs w:val="20"/>
              </w:rPr>
            </w:pPr>
            <w:r>
              <w:rPr>
                <w:rFonts w:cs="Arial"/>
                <w:b/>
                <w:sz w:val="20"/>
                <w:szCs w:val="20"/>
              </w:rPr>
              <w:t>SO</w:t>
            </w:r>
            <w:r w:rsidRPr="00FB555C">
              <w:rPr>
                <w:rFonts w:cs="Arial"/>
                <w:b/>
                <w:sz w:val="20"/>
                <w:szCs w:val="20"/>
                <w:vertAlign w:val="subscript"/>
              </w:rPr>
              <w:t>2</w:t>
            </w:r>
            <w:r w:rsidR="00F377B8">
              <w:rPr>
                <w:rFonts w:cs="Arial"/>
                <w:b/>
                <w:sz w:val="20"/>
                <w:szCs w:val="20"/>
                <w:vertAlign w:val="subscript"/>
              </w:rPr>
              <w:t xml:space="preserve"> </w:t>
            </w:r>
            <w:r w:rsidR="00CC5872">
              <w:rPr>
                <w:rStyle w:val="EndnoteReference"/>
                <w:rFonts w:cs="Arial"/>
                <w:b/>
                <w:sz w:val="20"/>
                <w:szCs w:val="20"/>
              </w:rPr>
              <w:endnoteReference w:id="10"/>
            </w:r>
          </w:p>
        </w:tc>
        <w:tc>
          <w:tcPr>
            <w:tcW w:w="1260" w:type="dxa"/>
            <w:vAlign w:val="center"/>
          </w:tcPr>
          <w:p w:rsidR="005A7058" w:rsidRPr="00866BE0" w:rsidRDefault="006426A0" w:rsidP="009A391D">
            <w:pPr>
              <w:jc w:val="center"/>
              <w:rPr>
                <w:rFonts w:cs="Arial"/>
                <w:sz w:val="20"/>
                <w:szCs w:val="20"/>
              </w:rPr>
            </w:pPr>
            <w:r>
              <w:rPr>
                <w:rFonts w:cs="Arial"/>
                <w:sz w:val="20"/>
                <w:szCs w:val="20"/>
              </w:rPr>
              <w:t>1 hour</w:t>
            </w:r>
          </w:p>
        </w:tc>
        <w:tc>
          <w:tcPr>
            <w:tcW w:w="1440" w:type="dxa"/>
            <w:vAlign w:val="center"/>
          </w:tcPr>
          <w:p w:rsidR="005A7058" w:rsidRPr="00866BE0" w:rsidRDefault="006426A0" w:rsidP="009A391D">
            <w:pPr>
              <w:jc w:val="center"/>
              <w:rPr>
                <w:rFonts w:cs="Arial"/>
                <w:sz w:val="20"/>
                <w:szCs w:val="20"/>
              </w:rPr>
            </w:pPr>
            <w:r>
              <w:rPr>
                <w:rFonts w:cs="Arial"/>
                <w:sz w:val="20"/>
                <w:szCs w:val="20"/>
              </w:rPr>
              <w:t>0.25 ppm</w:t>
            </w:r>
          </w:p>
        </w:tc>
        <w:tc>
          <w:tcPr>
            <w:tcW w:w="2070" w:type="dxa"/>
            <w:vAlign w:val="center"/>
          </w:tcPr>
          <w:p w:rsidR="005A7058" w:rsidRPr="00866BE0" w:rsidRDefault="006426A0" w:rsidP="009A391D">
            <w:pPr>
              <w:jc w:val="center"/>
              <w:rPr>
                <w:rFonts w:cs="Arial"/>
                <w:sz w:val="20"/>
                <w:szCs w:val="20"/>
              </w:rPr>
            </w:pPr>
            <w:r>
              <w:rPr>
                <w:rFonts w:cs="Arial"/>
                <w:sz w:val="20"/>
                <w:szCs w:val="20"/>
              </w:rPr>
              <w:t>0.075 ppm</w:t>
            </w:r>
            <w:r>
              <w:rPr>
                <w:rFonts w:cs="Arial"/>
                <w:sz w:val="20"/>
                <w:szCs w:val="20"/>
              </w:rPr>
              <w:br/>
              <w:t>(99</w:t>
            </w:r>
            <w:r w:rsidRPr="006426A0">
              <w:rPr>
                <w:rFonts w:cs="Arial"/>
                <w:sz w:val="20"/>
                <w:szCs w:val="20"/>
                <w:vertAlign w:val="superscript"/>
              </w:rPr>
              <w:t>th</w:t>
            </w:r>
            <w:r>
              <w:rPr>
                <w:rFonts w:cs="Arial"/>
                <w:sz w:val="20"/>
                <w:szCs w:val="20"/>
              </w:rPr>
              <w:t xml:space="preserve"> percentile over 3 years)</w:t>
            </w:r>
          </w:p>
        </w:tc>
        <w:tc>
          <w:tcPr>
            <w:tcW w:w="1440" w:type="dxa"/>
            <w:vAlign w:val="center"/>
          </w:tcPr>
          <w:p w:rsidR="005A7058"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vAlign w:val="center"/>
          </w:tcPr>
          <w:p w:rsidR="005A7058"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7594E" w:rsidRPr="00866BE0" w:rsidTr="0057594E">
        <w:trPr>
          <w:cantSplit/>
        </w:trPr>
        <w:tc>
          <w:tcPr>
            <w:tcW w:w="1435" w:type="dxa"/>
            <w:vAlign w:val="center"/>
          </w:tcPr>
          <w:p w:rsidR="005A7058" w:rsidRPr="0006249E" w:rsidRDefault="00FB555C" w:rsidP="0057594E">
            <w:pPr>
              <w:ind w:left="248" w:right="-106"/>
              <w:rPr>
                <w:rFonts w:cs="Arial"/>
                <w:b/>
                <w:sz w:val="20"/>
                <w:szCs w:val="20"/>
              </w:rPr>
            </w:pPr>
            <w:r>
              <w:rPr>
                <w:rFonts w:cs="Arial"/>
                <w:b/>
                <w:sz w:val="20"/>
                <w:szCs w:val="20"/>
              </w:rPr>
              <w:t>SO</w:t>
            </w:r>
            <w:r w:rsidRPr="00FB555C">
              <w:rPr>
                <w:rFonts w:cs="Arial"/>
                <w:b/>
                <w:sz w:val="20"/>
                <w:szCs w:val="20"/>
                <w:vertAlign w:val="subscript"/>
              </w:rPr>
              <w:t>2</w:t>
            </w:r>
          </w:p>
        </w:tc>
        <w:tc>
          <w:tcPr>
            <w:tcW w:w="1260" w:type="dxa"/>
            <w:vAlign w:val="center"/>
          </w:tcPr>
          <w:p w:rsidR="005A7058" w:rsidRPr="00866BE0" w:rsidRDefault="006426A0" w:rsidP="009A391D">
            <w:pPr>
              <w:jc w:val="center"/>
              <w:rPr>
                <w:rFonts w:cs="Arial"/>
                <w:sz w:val="20"/>
                <w:szCs w:val="20"/>
              </w:rPr>
            </w:pPr>
            <w:r>
              <w:rPr>
                <w:rFonts w:cs="Arial"/>
                <w:sz w:val="20"/>
                <w:szCs w:val="20"/>
              </w:rPr>
              <w:t>3 hours</w:t>
            </w:r>
          </w:p>
        </w:tc>
        <w:tc>
          <w:tcPr>
            <w:tcW w:w="1440" w:type="dxa"/>
            <w:vAlign w:val="center"/>
          </w:tcPr>
          <w:p w:rsidR="005A7058" w:rsidRPr="00866BE0" w:rsidRDefault="006426A0" w:rsidP="009A391D">
            <w:pPr>
              <w:jc w:val="center"/>
              <w:rPr>
                <w:rFonts w:cs="Arial"/>
                <w:sz w:val="20"/>
                <w:szCs w:val="20"/>
              </w:rPr>
            </w:pPr>
            <w:r>
              <w:rPr>
                <w:rFonts w:cs="Arial"/>
                <w:sz w:val="20"/>
                <w:szCs w:val="20"/>
              </w:rPr>
              <w:t>N/A</w:t>
            </w:r>
          </w:p>
        </w:tc>
        <w:tc>
          <w:tcPr>
            <w:tcW w:w="2070" w:type="dxa"/>
            <w:vAlign w:val="center"/>
          </w:tcPr>
          <w:p w:rsidR="005A7058" w:rsidRPr="00866BE0" w:rsidRDefault="006426A0" w:rsidP="009A391D">
            <w:pPr>
              <w:jc w:val="center"/>
              <w:rPr>
                <w:rFonts w:cs="Arial"/>
                <w:sz w:val="20"/>
                <w:szCs w:val="20"/>
              </w:rPr>
            </w:pPr>
            <w:r>
              <w:rPr>
                <w:rFonts w:cs="Arial"/>
                <w:sz w:val="20"/>
                <w:szCs w:val="20"/>
              </w:rPr>
              <w:t>0.5 ppm</w:t>
            </w:r>
            <w:r w:rsidR="005C72A7">
              <w:rPr>
                <w:rFonts w:cs="Arial"/>
                <w:sz w:val="20"/>
                <w:szCs w:val="20"/>
              </w:rPr>
              <w:t xml:space="preserve"> </w:t>
            </w:r>
            <w:r w:rsidR="00CC5872">
              <w:rPr>
                <w:rStyle w:val="EndnoteReference"/>
                <w:rFonts w:cs="Arial"/>
                <w:sz w:val="20"/>
                <w:szCs w:val="20"/>
              </w:rPr>
              <w:endnoteReference w:id="11"/>
            </w:r>
          </w:p>
        </w:tc>
        <w:tc>
          <w:tcPr>
            <w:tcW w:w="1440" w:type="dxa"/>
            <w:vAlign w:val="center"/>
          </w:tcPr>
          <w:p w:rsidR="005A7058" w:rsidRPr="00866BE0" w:rsidRDefault="006426A0" w:rsidP="009A391D">
            <w:pPr>
              <w:jc w:val="center"/>
              <w:rPr>
                <w:rFonts w:cs="Arial"/>
                <w:sz w:val="20"/>
                <w:szCs w:val="20"/>
              </w:rPr>
            </w:pPr>
            <w:r>
              <w:rPr>
                <w:rFonts w:cs="Arial"/>
                <w:sz w:val="20"/>
                <w:szCs w:val="20"/>
              </w:rPr>
              <w:t>N/A</w:t>
            </w:r>
          </w:p>
        </w:tc>
        <w:tc>
          <w:tcPr>
            <w:tcW w:w="1440" w:type="dxa"/>
            <w:vAlign w:val="center"/>
          </w:tcPr>
          <w:p w:rsidR="005A7058"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7594E" w:rsidRPr="00866BE0" w:rsidTr="0057594E">
        <w:trPr>
          <w:cantSplit/>
        </w:trPr>
        <w:tc>
          <w:tcPr>
            <w:tcW w:w="1435" w:type="dxa"/>
            <w:vAlign w:val="center"/>
          </w:tcPr>
          <w:p w:rsidR="005A7058" w:rsidRPr="0006249E" w:rsidRDefault="00FB555C" w:rsidP="0057594E">
            <w:pPr>
              <w:ind w:left="248" w:right="-106"/>
              <w:rPr>
                <w:rFonts w:cs="Arial"/>
                <w:b/>
                <w:sz w:val="20"/>
                <w:szCs w:val="20"/>
              </w:rPr>
            </w:pPr>
            <w:r>
              <w:rPr>
                <w:rFonts w:cs="Arial"/>
                <w:b/>
                <w:sz w:val="20"/>
                <w:szCs w:val="20"/>
              </w:rPr>
              <w:t>SO</w:t>
            </w:r>
            <w:r w:rsidRPr="00FB555C">
              <w:rPr>
                <w:rFonts w:cs="Arial"/>
                <w:b/>
                <w:sz w:val="20"/>
                <w:szCs w:val="20"/>
                <w:vertAlign w:val="subscript"/>
              </w:rPr>
              <w:t>2</w:t>
            </w:r>
          </w:p>
        </w:tc>
        <w:tc>
          <w:tcPr>
            <w:tcW w:w="1260" w:type="dxa"/>
            <w:vAlign w:val="center"/>
          </w:tcPr>
          <w:p w:rsidR="005A7058" w:rsidRPr="00866BE0" w:rsidRDefault="006426A0" w:rsidP="009A391D">
            <w:pPr>
              <w:jc w:val="center"/>
              <w:rPr>
                <w:rFonts w:cs="Arial"/>
                <w:sz w:val="20"/>
                <w:szCs w:val="20"/>
              </w:rPr>
            </w:pPr>
            <w:r>
              <w:rPr>
                <w:rFonts w:cs="Arial"/>
                <w:sz w:val="20"/>
                <w:szCs w:val="20"/>
              </w:rPr>
              <w:t>24 hours</w:t>
            </w:r>
          </w:p>
        </w:tc>
        <w:tc>
          <w:tcPr>
            <w:tcW w:w="1440" w:type="dxa"/>
            <w:vAlign w:val="center"/>
          </w:tcPr>
          <w:p w:rsidR="005A7058" w:rsidRPr="00866BE0" w:rsidRDefault="006426A0" w:rsidP="009A391D">
            <w:pPr>
              <w:jc w:val="center"/>
              <w:rPr>
                <w:rFonts w:cs="Arial"/>
                <w:sz w:val="20"/>
                <w:szCs w:val="20"/>
              </w:rPr>
            </w:pPr>
            <w:r>
              <w:rPr>
                <w:rFonts w:cs="Arial"/>
                <w:sz w:val="20"/>
                <w:szCs w:val="20"/>
              </w:rPr>
              <w:t>0.04 ppm</w:t>
            </w:r>
          </w:p>
        </w:tc>
        <w:tc>
          <w:tcPr>
            <w:tcW w:w="2070" w:type="dxa"/>
            <w:vAlign w:val="center"/>
          </w:tcPr>
          <w:p w:rsidR="005A7058" w:rsidRPr="00866BE0" w:rsidRDefault="006426A0" w:rsidP="009A391D">
            <w:pPr>
              <w:jc w:val="center"/>
              <w:rPr>
                <w:rFonts w:cs="Arial"/>
                <w:sz w:val="20"/>
                <w:szCs w:val="20"/>
              </w:rPr>
            </w:pPr>
            <w:r>
              <w:rPr>
                <w:rFonts w:cs="Arial"/>
                <w:sz w:val="20"/>
                <w:szCs w:val="20"/>
              </w:rPr>
              <w:t>0.14 ppm (for certain areas)</w:t>
            </w:r>
          </w:p>
        </w:tc>
        <w:tc>
          <w:tcPr>
            <w:tcW w:w="1440" w:type="dxa"/>
            <w:vAlign w:val="center"/>
          </w:tcPr>
          <w:p w:rsidR="005A7058"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vAlign w:val="center"/>
          </w:tcPr>
          <w:p w:rsidR="005A7058"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7594E" w:rsidRPr="00866BE0" w:rsidTr="0057594E">
        <w:trPr>
          <w:cantSplit/>
        </w:trPr>
        <w:tc>
          <w:tcPr>
            <w:tcW w:w="1435" w:type="dxa"/>
            <w:vAlign w:val="center"/>
          </w:tcPr>
          <w:p w:rsidR="005A7058" w:rsidRPr="0006249E" w:rsidRDefault="00FB555C" w:rsidP="0057594E">
            <w:pPr>
              <w:ind w:left="248" w:right="-106"/>
              <w:rPr>
                <w:rFonts w:cs="Arial"/>
                <w:b/>
                <w:sz w:val="20"/>
                <w:szCs w:val="20"/>
              </w:rPr>
            </w:pPr>
            <w:r>
              <w:rPr>
                <w:rFonts w:cs="Arial"/>
                <w:b/>
                <w:sz w:val="20"/>
                <w:szCs w:val="20"/>
              </w:rPr>
              <w:t>SO</w:t>
            </w:r>
            <w:r w:rsidRPr="00FB555C">
              <w:rPr>
                <w:rFonts w:cs="Arial"/>
                <w:b/>
                <w:sz w:val="20"/>
                <w:szCs w:val="20"/>
                <w:vertAlign w:val="subscript"/>
              </w:rPr>
              <w:t>2</w:t>
            </w:r>
          </w:p>
        </w:tc>
        <w:tc>
          <w:tcPr>
            <w:tcW w:w="1260" w:type="dxa"/>
            <w:vAlign w:val="center"/>
          </w:tcPr>
          <w:p w:rsidR="005A7058" w:rsidRPr="00866BE0" w:rsidRDefault="006426A0" w:rsidP="009A391D">
            <w:pPr>
              <w:jc w:val="center"/>
              <w:rPr>
                <w:rFonts w:cs="Arial"/>
                <w:sz w:val="20"/>
                <w:szCs w:val="20"/>
              </w:rPr>
            </w:pPr>
            <w:r>
              <w:rPr>
                <w:rFonts w:cs="Arial"/>
                <w:sz w:val="20"/>
                <w:szCs w:val="20"/>
              </w:rPr>
              <w:t>Annual</w:t>
            </w:r>
          </w:p>
        </w:tc>
        <w:tc>
          <w:tcPr>
            <w:tcW w:w="1440" w:type="dxa"/>
            <w:vAlign w:val="center"/>
          </w:tcPr>
          <w:p w:rsidR="005A7058" w:rsidRPr="00866BE0" w:rsidRDefault="006426A0" w:rsidP="009A391D">
            <w:pPr>
              <w:jc w:val="center"/>
              <w:rPr>
                <w:rFonts w:cs="Arial"/>
                <w:sz w:val="20"/>
                <w:szCs w:val="20"/>
              </w:rPr>
            </w:pPr>
            <w:r>
              <w:rPr>
                <w:rFonts w:cs="Arial"/>
                <w:sz w:val="20"/>
                <w:szCs w:val="20"/>
              </w:rPr>
              <w:t>N/A</w:t>
            </w:r>
          </w:p>
        </w:tc>
        <w:tc>
          <w:tcPr>
            <w:tcW w:w="2070" w:type="dxa"/>
            <w:vAlign w:val="center"/>
          </w:tcPr>
          <w:p w:rsidR="005A7058" w:rsidRPr="00866BE0" w:rsidRDefault="006426A0" w:rsidP="009A391D">
            <w:pPr>
              <w:jc w:val="center"/>
              <w:rPr>
                <w:rFonts w:cs="Arial"/>
                <w:sz w:val="20"/>
                <w:szCs w:val="20"/>
              </w:rPr>
            </w:pPr>
            <w:r>
              <w:rPr>
                <w:rFonts w:cs="Arial"/>
                <w:sz w:val="20"/>
                <w:szCs w:val="20"/>
              </w:rPr>
              <w:t>0.030 ppm (for certain areas)</w:t>
            </w:r>
          </w:p>
        </w:tc>
        <w:tc>
          <w:tcPr>
            <w:tcW w:w="1440" w:type="dxa"/>
            <w:vAlign w:val="center"/>
          </w:tcPr>
          <w:p w:rsidR="005A7058" w:rsidRPr="00866BE0" w:rsidRDefault="00E35D2F" w:rsidP="009A391D">
            <w:pPr>
              <w:jc w:val="center"/>
              <w:rPr>
                <w:rFonts w:cs="Arial"/>
                <w:sz w:val="20"/>
                <w:szCs w:val="20"/>
              </w:rPr>
            </w:pPr>
            <w:r>
              <w:rPr>
                <w:rFonts w:cs="Arial"/>
                <w:sz w:val="20"/>
                <w:szCs w:val="20"/>
              </w:rPr>
              <w:t>N/A</w:t>
            </w:r>
          </w:p>
        </w:tc>
        <w:tc>
          <w:tcPr>
            <w:tcW w:w="1440" w:type="dxa"/>
            <w:vAlign w:val="center"/>
          </w:tcPr>
          <w:p w:rsidR="005A7058"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E029E" w:rsidRPr="00866BE0" w:rsidTr="0057594E">
        <w:trPr>
          <w:cantSplit/>
        </w:trPr>
        <w:tc>
          <w:tcPr>
            <w:tcW w:w="1435" w:type="dxa"/>
            <w:shd w:val="clear" w:color="auto" w:fill="F2F2F2" w:themeFill="background1" w:themeFillShade="F2"/>
            <w:vAlign w:val="center"/>
          </w:tcPr>
          <w:p w:rsidR="00FB555C" w:rsidRDefault="00FB555C" w:rsidP="0057594E">
            <w:pPr>
              <w:ind w:left="248" w:right="-106"/>
              <w:rPr>
                <w:rFonts w:cs="Arial"/>
                <w:b/>
                <w:sz w:val="20"/>
                <w:szCs w:val="20"/>
              </w:rPr>
            </w:pPr>
            <w:r>
              <w:rPr>
                <w:rFonts w:cs="Arial"/>
                <w:b/>
                <w:sz w:val="20"/>
                <w:szCs w:val="20"/>
              </w:rPr>
              <w:t>Pb</w:t>
            </w:r>
            <w:bookmarkStart w:id="3" w:name="_Ref40972313"/>
            <w:r w:rsidR="00F377B8">
              <w:rPr>
                <w:rFonts w:cs="Arial"/>
                <w:b/>
                <w:sz w:val="20"/>
                <w:szCs w:val="20"/>
              </w:rPr>
              <w:t xml:space="preserve"> </w:t>
            </w:r>
            <w:bookmarkStart w:id="4" w:name="_Ref41470431"/>
            <w:r w:rsidR="00CC5872">
              <w:rPr>
                <w:rStyle w:val="EndnoteReference"/>
                <w:rFonts w:cs="Arial"/>
                <w:b/>
                <w:sz w:val="20"/>
                <w:szCs w:val="20"/>
              </w:rPr>
              <w:endnoteReference w:id="12"/>
            </w:r>
            <w:bookmarkEnd w:id="3"/>
            <w:bookmarkEnd w:id="4"/>
          </w:p>
        </w:tc>
        <w:tc>
          <w:tcPr>
            <w:tcW w:w="126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Monthly</w:t>
            </w:r>
          </w:p>
        </w:tc>
        <w:tc>
          <w:tcPr>
            <w:tcW w:w="144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 xml:space="preserve">1.5 </w:t>
            </w:r>
            <w:proofErr w:type="spellStart"/>
            <w:r w:rsidR="00450693" w:rsidRPr="00B6698F">
              <w:rPr>
                <w:rFonts w:cs="Arial"/>
                <w:sz w:val="20"/>
                <w:szCs w:val="20"/>
              </w:rPr>
              <w:t>μg</w:t>
            </w:r>
            <w:proofErr w:type="spellEnd"/>
            <w:r w:rsidR="00450693" w:rsidRPr="00B6698F">
              <w:rPr>
                <w:rFonts w:cs="Arial"/>
                <w:sz w:val="20"/>
                <w:szCs w:val="20"/>
              </w:rPr>
              <w:t>/</w:t>
            </w:r>
            <w:r w:rsidR="00450693">
              <w:rPr>
                <w:rFonts w:cs="Arial"/>
                <w:sz w:val="20"/>
                <w:szCs w:val="20"/>
              </w:rPr>
              <w:t>m</w:t>
            </w:r>
            <w:r w:rsidR="00450693" w:rsidRPr="00B6698F">
              <w:rPr>
                <w:rFonts w:cs="Arial"/>
                <w:sz w:val="20"/>
                <w:szCs w:val="20"/>
                <w:vertAlign w:val="superscript"/>
              </w:rPr>
              <w:t>3</w:t>
            </w:r>
          </w:p>
        </w:tc>
        <w:tc>
          <w:tcPr>
            <w:tcW w:w="207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N/A</w:t>
            </w:r>
          </w:p>
        </w:tc>
        <w:tc>
          <w:tcPr>
            <w:tcW w:w="1440" w:type="dxa"/>
            <w:shd w:val="clear" w:color="auto" w:fill="F2F2F2" w:themeFill="background1" w:themeFillShade="F2"/>
            <w:vAlign w:val="center"/>
          </w:tcPr>
          <w:p w:rsidR="00FB555C"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N/A</w:t>
            </w:r>
          </w:p>
        </w:tc>
      </w:tr>
      <w:tr w:rsidR="00BE029E" w:rsidRPr="00866BE0" w:rsidTr="0057594E">
        <w:trPr>
          <w:cantSplit/>
        </w:trPr>
        <w:tc>
          <w:tcPr>
            <w:tcW w:w="1435" w:type="dxa"/>
            <w:shd w:val="clear" w:color="auto" w:fill="F2F2F2" w:themeFill="background1" w:themeFillShade="F2"/>
            <w:vAlign w:val="center"/>
          </w:tcPr>
          <w:p w:rsidR="00FB555C" w:rsidRDefault="00FB555C" w:rsidP="0057594E">
            <w:pPr>
              <w:ind w:left="248" w:right="-106"/>
              <w:rPr>
                <w:rFonts w:cs="Arial"/>
                <w:b/>
                <w:sz w:val="20"/>
                <w:szCs w:val="20"/>
              </w:rPr>
            </w:pPr>
            <w:r>
              <w:rPr>
                <w:rFonts w:cs="Arial"/>
                <w:b/>
                <w:sz w:val="20"/>
                <w:szCs w:val="20"/>
              </w:rPr>
              <w:t>Pb</w:t>
            </w:r>
          </w:p>
        </w:tc>
        <w:tc>
          <w:tcPr>
            <w:tcW w:w="126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Calendar Quarter</w:t>
            </w:r>
          </w:p>
        </w:tc>
        <w:tc>
          <w:tcPr>
            <w:tcW w:w="144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N/A</w:t>
            </w:r>
          </w:p>
        </w:tc>
        <w:tc>
          <w:tcPr>
            <w:tcW w:w="2070" w:type="dxa"/>
            <w:shd w:val="clear" w:color="auto" w:fill="F2F2F2" w:themeFill="background1" w:themeFillShade="F2"/>
            <w:vAlign w:val="center"/>
          </w:tcPr>
          <w:p w:rsidR="00FB555C" w:rsidRPr="00E35D2F" w:rsidRDefault="00E35D2F" w:rsidP="009A391D">
            <w:pPr>
              <w:jc w:val="center"/>
              <w:rPr>
                <w:rFonts w:cs="Arial"/>
                <w:sz w:val="20"/>
                <w:szCs w:val="20"/>
              </w:rPr>
            </w:pPr>
            <w:r>
              <w:rPr>
                <w:rFonts w:cs="Arial"/>
                <w:sz w:val="20"/>
                <w:szCs w:val="20"/>
              </w:rPr>
              <w:t xml:space="preserve">1.5 </w:t>
            </w:r>
            <w:proofErr w:type="spellStart"/>
            <w:r w:rsidR="00450693" w:rsidRPr="00B6698F">
              <w:rPr>
                <w:rFonts w:cs="Arial"/>
                <w:sz w:val="20"/>
                <w:szCs w:val="20"/>
              </w:rPr>
              <w:t>μg</w:t>
            </w:r>
            <w:proofErr w:type="spellEnd"/>
            <w:r w:rsidR="00450693" w:rsidRPr="00B6698F">
              <w:rPr>
                <w:rFonts w:cs="Arial"/>
                <w:sz w:val="20"/>
                <w:szCs w:val="20"/>
              </w:rPr>
              <w:t>/</w:t>
            </w:r>
            <w:r w:rsidR="00450693">
              <w:rPr>
                <w:rFonts w:cs="Arial"/>
                <w:sz w:val="20"/>
                <w:szCs w:val="20"/>
              </w:rPr>
              <w:t>m</w:t>
            </w:r>
            <w:r w:rsidR="00450693" w:rsidRPr="00B6698F">
              <w:rPr>
                <w:rFonts w:cs="Arial"/>
                <w:sz w:val="20"/>
                <w:szCs w:val="20"/>
                <w:vertAlign w:val="superscript"/>
              </w:rPr>
              <w:t>3</w:t>
            </w:r>
            <w:r>
              <w:rPr>
                <w:rFonts w:cs="Arial"/>
                <w:sz w:val="20"/>
                <w:szCs w:val="20"/>
              </w:rPr>
              <w:br/>
              <w:t>(for certain areas)</w:t>
            </w:r>
          </w:p>
        </w:tc>
        <w:tc>
          <w:tcPr>
            <w:tcW w:w="144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N/A</w:t>
            </w:r>
          </w:p>
        </w:tc>
        <w:tc>
          <w:tcPr>
            <w:tcW w:w="1440" w:type="dxa"/>
            <w:shd w:val="clear" w:color="auto" w:fill="F2F2F2" w:themeFill="background1" w:themeFillShade="F2"/>
            <w:vAlign w:val="center"/>
          </w:tcPr>
          <w:p w:rsidR="00FB555C"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BE029E" w:rsidRPr="00866BE0" w:rsidTr="0057594E">
        <w:trPr>
          <w:cantSplit/>
        </w:trPr>
        <w:tc>
          <w:tcPr>
            <w:tcW w:w="1435" w:type="dxa"/>
            <w:shd w:val="clear" w:color="auto" w:fill="F2F2F2" w:themeFill="background1" w:themeFillShade="F2"/>
            <w:vAlign w:val="center"/>
          </w:tcPr>
          <w:p w:rsidR="00FB555C" w:rsidRDefault="00FB555C" w:rsidP="0057594E">
            <w:pPr>
              <w:ind w:left="248" w:right="-106"/>
              <w:rPr>
                <w:rFonts w:cs="Arial"/>
                <w:b/>
                <w:sz w:val="20"/>
                <w:szCs w:val="20"/>
              </w:rPr>
            </w:pPr>
            <w:r>
              <w:rPr>
                <w:rFonts w:cs="Arial"/>
                <w:b/>
                <w:sz w:val="20"/>
                <w:szCs w:val="20"/>
              </w:rPr>
              <w:t>Pb</w:t>
            </w:r>
          </w:p>
        </w:tc>
        <w:tc>
          <w:tcPr>
            <w:tcW w:w="126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Rolling 3-month average</w:t>
            </w:r>
          </w:p>
        </w:tc>
        <w:tc>
          <w:tcPr>
            <w:tcW w:w="144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N/A</w:t>
            </w:r>
          </w:p>
        </w:tc>
        <w:tc>
          <w:tcPr>
            <w:tcW w:w="207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 xml:space="preserve">0.15 </w:t>
            </w:r>
            <w:proofErr w:type="spellStart"/>
            <w:r w:rsidRPr="00B6698F">
              <w:rPr>
                <w:rFonts w:cs="Arial"/>
                <w:sz w:val="20"/>
                <w:szCs w:val="20"/>
              </w:rPr>
              <w:t>μg</w:t>
            </w:r>
            <w:proofErr w:type="spellEnd"/>
            <w:r w:rsidRPr="00B6698F">
              <w:rPr>
                <w:rFonts w:cs="Arial"/>
                <w:sz w:val="20"/>
                <w:szCs w:val="20"/>
              </w:rPr>
              <w:t>/</w:t>
            </w:r>
            <w:r>
              <w:rPr>
                <w:rFonts w:cs="Arial"/>
                <w:sz w:val="20"/>
                <w:szCs w:val="20"/>
              </w:rPr>
              <w:t>m</w:t>
            </w:r>
            <w:r w:rsidRPr="00B6698F">
              <w:rPr>
                <w:rFonts w:cs="Arial"/>
                <w:sz w:val="20"/>
                <w:szCs w:val="20"/>
                <w:vertAlign w:val="superscript"/>
              </w:rPr>
              <w:t>3</w:t>
            </w:r>
            <w:r w:rsidR="00CC5872">
              <w:rPr>
                <w:rFonts w:cs="Arial"/>
                <w:sz w:val="20"/>
                <w:szCs w:val="20"/>
                <w:vertAlign w:val="superscript"/>
              </w:rPr>
              <w:t xml:space="preserve"> </w:t>
            </w:r>
            <w:r w:rsidR="00CC5872">
              <w:rPr>
                <w:rStyle w:val="EndnoteReference"/>
                <w:rFonts w:cs="Arial"/>
                <w:sz w:val="20"/>
                <w:szCs w:val="20"/>
              </w:rPr>
              <w:endnoteReference w:id="13"/>
            </w:r>
          </w:p>
        </w:tc>
        <w:tc>
          <w:tcPr>
            <w:tcW w:w="144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N/A</w:t>
            </w:r>
          </w:p>
        </w:tc>
        <w:tc>
          <w:tcPr>
            <w:tcW w:w="1440" w:type="dxa"/>
            <w:shd w:val="clear" w:color="auto" w:fill="F2F2F2" w:themeFill="background1" w:themeFillShade="F2"/>
            <w:vAlign w:val="center"/>
          </w:tcPr>
          <w:p w:rsidR="00FB555C"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r>
      <w:tr w:rsidR="0057594E" w:rsidRPr="00866BE0" w:rsidTr="0057594E">
        <w:trPr>
          <w:cantSplit/>
        </w:trPr>
        <w:tc>
          <w:tcPr>
            <w:tcW w:w="1435" w:type="dxa"/>
            <w:vAlign w:val="center"/>
          </w:tcPr>
          <w:p w:rsidR="00FB555C" w:rsidRDefault="00FB555C" w:rsidP="0057594E">
            <w:pPr>
              <w:ind w:left="248" w:right="-106"/>
              <w:rPr>
                <w:rFonts w:cs="Arial"/>
                <w:b/>
                <w:sz w:val="20"/>
                <w:szCs w:val="20"/>
              </w:rPr>
            </w:pPr>
            <w:r>
              <w:rPr>
                <w:rFonts w:cs="Arial"/>
                <w:b/>
                <w:sz w:val="20"/>
                <w:szCs w:val="20"/>
              </w:rPr>
              <w:t>Sulfates</w:t>
            </w:r>
          </w:p>
        </w:tc>
        <w:tc>
          <w:tcPr>
            <w:tcW w:w="1260" w:type="dxa"/>
            <w:vAlign w:val="center"/>
          </w:tcPr>
          <w:p w:rsidR="00FB555C" w:rsidRPr="00866BE0" w:rsidRDefault="00E35D2F" w:rsidP="009A391D">
            <w:pPr>
              <w:jc w:val="center"/>
              <w:rPr>
                <w:rFonts w:cs="Arial"/>
                <w:sz w:val="20"/>
                <w:szCs w:val="20"/>
              </w:rPr>
            </w:pPr>
            <w:r>
              <w:rPr>
                <w:rFonts w:cs="Arial"/>
                <w:sz w:val="20"/>
                <w:szCs w:val="20"/>
              </w:rPr>
              <w:t>24 hours</w:t>
            </w:r>
          </w:p>
        </w:tc>
        <w:tc>
          <w:tcPr>
            <w:tcW w:w="1440" w:type="dxa"/>
            <w:vAlign w:val="center"/>
          </w:tcPr>
          <w:p w:rsidR="00FB555C" w:rsidRPr="00866BE0" w:rsidRDefault="00E35D2F" w:rsidP="009A391D">
            <w:pPr>
              <w:jc w:val="center"/>
              <w:rPr>
                <w:rFonts w:cs="Arial"/>
                <w:sz w:val="20"/>
                <w:szCs w:val="20"/>
              </w:rPr>
            </w:pPr>
            <w:r>
              <w:rPr>
                <w:rFonts w:cs="Arial"/>
                <w:sz w:val="20"/>
                <w:szCs w:val="20"/>
              </w:rPr>
              <w:t xml:space="preserve">25 </w:t>
            </w:r>
            <w:proofErr w:type="spellStart"/>
            <w:r w:rsidRPr="00B6698F">
              <w:rPr>
                <w:rFonts w:cs="Arial"/>
                <w:sz w:val="20"/>
                <w:szCs w:val="20"/>
              </w:rPr>
              <w:t>μg</w:t>
            </w:r>
            <w:proofErr w:type="spellEnd"/>
            <w:r w:rsidRPr="00B6698F">
              <w:rPr>
                <w:rFonts w:cs="Arial"/>
                <w:sz w:val="20"/>
                <w:szCs w:val="20"/>
              </w:rPr>
              <w:t>/</w:t>
            </w:r>
            <w:r>
              <w:rPr>
                <w:rFonts w:cs="Arial"/>
                <w:sz w:val="20"/>
                <w:szCs w:val="20"/>
              </w:rPr>
              <w:t>m</w:t>
            </w:r>
            <w:r w:rsidRPr="00B6698F">
              <w:rPr>
                <w:rFonts w:cs="Arial"/>
                <w:sz w:val="20"/>
                <w:szCs w:val="20"/>
                <w:vertAlign w:val="superscript"/>
              </w:rPr>
              <w:t>3</w:t>
            </w:r>
          </w:p>
        </w:tc>
        <w:tc>
          <w:tcPr>
            <w:tcW w:w="2070" w:type="dxa"/>
            <w:vAlign w:val="center"/>
          </w:tcPr>
          <w:p w:rsidR="00FB555C" w:rsidRPr="00866BE0" w:rsidRDefault="00E35D2F" w:rsidP="009A391D">
            <w:pPr>
              <w:jc w:val="center"/>
              <w:rPr>
                <w:rFonts w:cs="Arial"/>
                <w:sz w:val="20"/>
                <w:szCs w:val="20"/>
              </w:rPr>
            </w:pPr>
            <w:r>
              <w:rPr>
                <w:rFonts w:cs="Arial"/>
                <w:sz w:val="20"/>
                <w:szCs w:val="20"/>
              </w:rPr>
              <w:t>N/A</w:t>
            </w:r>
          </w:p>
        </w:tc>
        <w:tc>
          <w:tcPr>
            <w:tcW w:w="1440" w:type="dxa"/>
            <w:vAlign w:val="center"/>
          </w:tcPr>
          <w:p w:rsidR="00FB555C"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vAlign w:val="center"/>
          </w:tcPr>
          <w:p w:rsidR="00FB555C" w:rsidRPr="00866BE0" w:rsidRDefault="00E35D2F" w:rsidP="009A391D">
            <w:pPr>
              <w:jc w:val="center"/>
              <w:rPr>
                <w:rFonts w:cs="Arial"/>
                <w:sz w:val="20"/>
                <w:szCs w:val="20"/>
              </w:rPr>
            </w:pPr>
            <w:r>
              <w:rPr>
                <w:rFonts w:cs="Arial"/>
                <w:sz w:val="20"/>
                <w:szCs w:val="20"/>
              </w:rPr>
              <w:t>N/A</w:t>
            </w:r>
          </w:p>
        </w:tc>
      </w:tr>
      <w:tr w:rsidR="00BE029E" w:rsidRPr="00866BE0" w:rsidTr="0057594E">
        <w:trPr>
          <w:cantSplit/>
        </w:trPr>
        <w:tc>
          <w:tcPr>
            <w:tcW w:w="1435" w:type="dxa"/>
            <w:shd w:val="clear" w:color="auto" w:fill="F2F2F2" w:themeFill="background1" w:themeFillShade="F2"/>
            <w:vAlign w:val="center"/>
          </w:tcPr>
          <w:p w:rsidR="00FB555C" w:rsidRDefault="00FB555C" w:rsidP="0057594E">
            <w:pPr>
              <w:ind w:left="248" w:right="-106"/>
              <w:rPr>
                <w:rFonts w:cs="Arial"/>
                <w:b/>
                <w:sz w:val="20"/>
                <w:szCs w:val="20"/>
              </w:rPr>
            </w:pPr>
            <w:r>
              <w:rPr>
                <w:rFonts w:cs="Arial"/>
                <w:b/>
                <w:sz w:val="20"/>
                <w:szCs w:val="20"/>
              </w:rPr>
              <w:t>H</w:t>
            </w:r>
            <w:r w:rsidRPr="00FB555C">
              <w:rPr>
                <w:rFonts w:cs="Arial"/>
                <w:b/>
                <w:sz w:val="20"/>
                <w:szCs w:val="20"/>
                <w:vertAlign w:val="subscript"/>
              </w:rPr>
              <w:t>2</w:t>
            </w:r>
            <w:r>
              <w:rPr>
                <w:rFonts w:cs="Arial"/>
                <w:b/>
                <w:sz w:val="20"/>
                <w:szCs w:val="20"/>
              </w:rPr>
              <w:t>S</w:t>
            </w:r>
          </w:p>
        </w:tc>
        <w:tc>
          <w:tcPr>
            <w:tcW w:w="126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1 hour</w:t>
            </w:r>
          </w:p>
        </w:tc>
        <w:tc>
          <w:tcPr>
            <w:tcW w:w="144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0.03 ppm</w:t>
            </w:r>
          </w:p>
        </w:tc>
        <w:tc>
          <w:tcPr>
            <w:tcW w:w="207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N/A</w:t>
            </w:r>
          </w:p>
        </w:tc>
        <w:tc>
          <w:tcPr>
            <w:tcW w:w="1440" w:type="dxa"/>
            <w:shd w:val="clear" w:color="auto" w:fill="F2F2F2" w:themeFill="background1" w:themeFillShade="F2"/>
            <w:vAlign w:val="center"/>
          </w:tcPr>
          <w:p w:rsidR="00FB555C"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N/A</w:t>
            </w:r>
          </w:p>
        </w:tc>
      </w:tr>
      <w:tr w:rsidR="0057594E" w:rsidRPr="00866BE0" w:rsidTr="0057594E">
        <w:trPr>
          <w:cantSplit/>
        </w:trPr>
        <w:tc>
          <w:tcPr>
            <w:tcW w:w="1435" w:type="dxa"/>
            <w:vAlign w:val="center"/>
          </w:tcPr>
          <w:p w:rsidR="00FB555C" w:rsidRDefault="00773762" w:rsidP="0057594E">
            <w:pPr>
              <w:ind w:left="248" w:right="-106"/>
              <w:rPr>
                <w:rFonts w:cs="Arial"/>
                <w:b/>
                <w:sz w:val="20"/>
                <w:szCs w:val="20"/>
              </w:rPr>
            </w:pPr>
            <w:r w:rsidRPr="00773762">
              <w:rPr>
                <w:rFonts w:cs="Arial"/>
                <w:b/>
                <w:sz w:val="20"/>
                <w:szCs w:val="20"/>
              </w:rPr>
              <w:lastRenderedPageBreak/>
              <w:t>Visibility Reducing Particles (VRP)</w:t>
            </w:r>
            <w:r w:rsidR="00F377B8">
              <w:rPr>
                <w:rFonts w:cs="Arial"/>
                <w:b/>
                <w:sz w:val="20"/>
                <w:szCs w:val="20"/>
              </w:rPr>
              <w:t xml:space="preserve"> </w:t>
            </w:r>
            <w:r w:rsidR="00CC5872">
              <w:rPr>
                <w:rStyle w:val="EndnoteReference"/>
                <w:rFonts w:cs="Arial"/>
                <w:b/>
                <w:sz w:val="20"/>
                <w:szCs w:val="20"/>
              </w:rPr>
              <w:endnoteReference w:id="14"/>
            </w:r>
          </w:p>
        </w:tc>
        <w:tc>
          <w:tcPr>
            <w:tcW w:w="1260" w:type="dxa"/>
            <w:vAlign w:val="center"/>
          </w:tcPr>
          <w:p w:rsidR="00FB555C" w:rsidRPr="00866BE0" w:rsidRDefault="00E35D2F" w:rsidP="009A391D">
            <w:pPr>
              <w:jc w:val="center"/>
              <w:rPr>
                <w:rFonts w:cs="Arial"/>
                <w:sz w:val="20"/>
                <w:szCs w:val="20"/>
              </w:rPr>
            </w:pPr>
            <w:r>
              <w:rPr>
                <w:rFonts w:cs="Arial"/>
                <w:sz w:val="20"/>
                <w:szCs w:val="20"/>
              </w:rPr>
              <w:t>8 hours</w:t>
            </w:r>
          </w:p>
        </w:tc>
        <w:tc>
          <w:tcPr>
            <w:tcW w:w="1440" w:type="dxa"/>
            <w:vAlign w:val="center"/>
          </w:tcPr>
          <w:p w:rsidR="00FB555C" w:rsidRPr="00866BE0" w:rsidRDefault="00E35D2F" w:rsidP="009A391D">
            <w:pPr>
              <w:jc w:val="center"/>
              <w:rPr>
                <w:rFonts w:cs="Arial"/>
                <w:sz w:val="20"/>
                <w:szCs w:val="20"/>
              </w:rPr>
            </w:pPr>
            <w:r>
              <w:rPr>
                <w:rFonts w:cs="Arial"/>
                <w:sz w:val="20"/>
                <w:szCs w:val="20"/>
              </w:rPr>
              <w:t>Visibility of 10 miles or more</w:t>
            </w:r>
            <w:r w:rsidR="00BE029E">
              <w:rPr>
                <w:rFonts w:cs="Arial"/>
                <w:sz w:val="20"/>
                <w:szCs w:val="20"/>
              </w:rPr>
              <w:t xml:space="preserve"> </w:t>
            </w:r>
            <w:r>
              <w:rPr>
                <w:rFonts w:cs="Arial"/>
                <w:sz w:val="20"/>
                <w:szCs w:val="20"/>
              </w:rPr>
              <w:t>(Tahoe: 30 miles) at relative humidity less than 70 %</w:t>
            </w:r>
          </w:p>
        </w:tc>
        <w:tc>
          <w:tcPr>
            <w:tcW w:w="2070" w:type="dxa"/>
            <w:vAlign w:val="center"/>
          </w:tcPr>
          <w:p w:rsidR="00FB555C" w:rsidRPr="00866BE0" w:rsidRDefault="00E35D2F" w:rsidP="009A391D">
            <w:pPr>
              <w:jc w:val="center"/>
              <w:rPr>
                <w:rFonts w:cs="Arial"/>
                <w:sz w:val="20"/>
                <w:szCs w:val="20"/>
              </w:rPr>
            </w:pPr>
            <w:r>
              <w:rPr>
                <w:rFonts w:cs="Arial"/>
                <w:sz w:val="20"/>
                <w:szCs w:val="20"/>
              </w:rPr>
              <w:t>N/A</w:t>
            </w:r>
          </w:p>
        </w:tc>
        <w:tc>
          <w:tcPr>
            <w:tcW w:w="1440" w:type="dxa"/>
            <w:vAlign w:val="center"/>
          </w:tcPr>
          <w:p w:rsidR="00FB555C"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vAlign w:val="center"/>
          </w:tcPr>
          <w:p w:rsidR="00FB555C" w:rsidRPr="00866BE0" w:rsidRDefault="00E35D2F" w:rsidP="009A391D">
            <w:pPr>
              <w:jc w:val="center"/>
              <w:rPr>
                <w:rFonts w:cs="Arial"/>
                <w:sz w:val="20"/>
                <w:szCs w:val="20"/>
              </w:rPr>
            </w:pPr>
            <w:r>
              <w:rPr>
                <w:rFonts w:cs="Arial"/>
                <w:sz w:val="20"/>
                <w:szCs w:val="20"/>
              </w:rPr>
              <w:t>N/A</w:t>
            </w:r>
          </w:p>
        </w:tc>
      </w:tr>
      <w:tr w:rsidR="00BE029E" w:rsidRPr="00866BE0" w:rsidTr="0057594E">
        <w:trPr>
          <w:cantSplit/>
        </w:trPr>
        <w:tc>
          <w:tcPr>
            <w:tcW w:w="1435" w:type="dxa"/>
            <w:shd w:val="clear" w:color="auto" w:fill="F2F2F2" w:themeFill="background1" w:themeFillShade="F2"/>
            <w:vAlign w:val="center"/>
          </w:tcPr>
          <w:p w:rsidR="00FB555C" w:rsidRDefault="00FB555C" w:rsidP="0057594E">
            <w:pPr>
              <w:ind w:left="248" w:right="-106"/>
              <w:rPr>
                <w:rFonts w:cs="Arial"/>
                <w:b/>
                <w:sz w:val="20"/>
                <w:szCs w:val="20"/>
              </w:rPr>
            </w:pPr>
            <w:r>
              <w:rPr>
                <w:rFonts w:cs="Arial"/>
                <w:b/>
                <w:sz w:val="20"/>
                <w:szCs w:val="20"/>
              </w:rPr>
              <w:t>Vinyl Chloride</w:t>
            </w:r>
            <w:r w:rsidR="00773762">
              <w:rPr>
                <w:rFonts w:cs="Arial"/>
                <w:b/>
                <w:sz w:val="20"/>
                <w:szCs w:val="20"/>
              </w:rPr>
              <w:t xml:space="preserve"> </w:t>
            </w:r>
            <w:r w:rsidR="00773762" w:rsidRPr="002A613B">
              <w:rPr>
                <w:rFonts w:cs="Arial"/>
                <w:b/>
                <w:sz w:val="20"/>
                <w:szCs w:val="20"/>
                <w:vertAlign w:val="superscript"/>
              </w:rPr>
              <w:fldChar w:fldCharType="begin"/>
            </w:r>
            <w:r w:rsidR="00773762" w:rsidRPr="002A613B">
              <w:rPr>
                <w:rFonts w:cs="Arial"/>
                <w:b/>
                <w:sz w:val="20"/>
                <w:szCs w:val="20"/>
                <w:vertAlign w:val="superscript"/>
              </w:rPr>
              <w:instrText xml:space="preserve"> NOTEREF _Ref41470431 \h </w:instrText>
            </w:r>
            <w:r w:rsidR="00773762" w:rsidRPr="002A613B">
              <w:rPr>
                <w:rFonts w:cs="Arial"/>
                <w:b/>
                <w:sz w:val="20"/>
                <w:szCs w:val="20"/>
                <w:vertAlign w:val="superscript"/>
              </w:rPr>
            </w:r>
            <w:r w:rsidR="003B7822" w:rsidRPr="002A613B">
              <w:rPr>
                <w:rFonts w:cs="Arial"/>
                <w:b/>
                <w:sz w:val="20"/>
                <w:szCs w:val="20"/>
                <w:vertAlign w:val="superscript"/>
              </w:rPr>
              <w:instrText xml:space="preserve"> \* MERGEFORMAT </w:instrText>
            </w:r>
            <w:r w:rsidR="00773762" w:rsidRPr="002A613B">
              <w:rPr>
                <w:rFonts w:cs="Arial"/>
                <w:b/>
                <w:sz w:val="20"/>
                <w:szCs w:val="20"/>
                <w:vertAlign w:val="superscript"/>
              </w:rPr>
              <w:fldChar w:fldCharType="separate"/>
            </w:r>
            <w:r w:rsidR="002A613B" w:rsidRPr="002A613B">
              <w:rPr>
                <w:rFonts w:cs="Arial"/>
                <w:b/>
                <w:sz w:val="20"/>
                <w:szCs w:val="20"/>
                <w:vertAlign w:val="superscript"/>
              </w:rPr>
              <w:t>xii</w:t>
            </w:r>
            <w:r w:rsidR="00773762" w:rsidRPr="002A613B">
              <w:rPr>
                <w:rFonts w:cs="Arial"/>
                <w:b/>
                <w:sz w:val="20"/>
                <w:szCs w:val="20"/>
                <w:vertAlign w:val="superscript"/>
              </w:rPr>
              <w:fldChar w:fldCharType="end"/>
            </w:r>
          </w:p>
        </w:tc>
        <w:tc>
          <w:tcPr>
            <w:tcW w:w="126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24 hours</w:t>
            </w:r>
          </w:p>
        </w:tc>
        <w:tc>
          <w:tcPr>
            <w:tcW w:w="144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0.01 ppm</w:t>
            </w:r>
          </w:p>
        </w:tc>
        <w:tc>
          <w:tcPr>
            <w:tcW w:w="207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N/A</w:t>
            </w:r>
          </w:p>
        </w:tc>
        <w:tc>
          <w:tcPr>
            <w:tcW w:w="1440" w:type="dxa"/>
            <w:shd w:val="clear" w:color="auto" w:fill="F2F2F2" w:themeFill="background1" w:themeFillShade="F2"/>
            <w:vAlign w:val="center"/>
          </w:tcPr>
          <w:p w:rsidR="00FB555C" w:rsidRPr="00866BE0" w:rsidRDefault="00BE029E" w:rsidP="009A391D">
            <w:pPr>
              <w:jc w:val="center"/>
              <w:rPr>
                <w:rFonts w:cs="Arial"/>
                <w:sz w:val="20"/>
                <w:szCs w:val="20"/>
              </w:rPr>
            </w:pPr>
            <w:r>
              <w:rPr>
                <w:rFonts w:cs="Arial"/>
                <w:sz w:val="20"/>
                <w:szCs w:val="20"/>
              </w:rPr>
              <w:fldChar w:fldCharType="begin">
                <w:ffData>
                  <w:name w:val="Text1"/>
                  <w:enabled/>
                  <w:calcOnExit w:val="0"/>
                  <w:statusText w:type="text" w:val="Enter status"/>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c>
        <w:tc>
          <w:tcPr>
            <w:tcW w:w="1440" w:type="dxa"/>
            <w:shd w:val="clear" w:color="auto" w:fill="F2F2F2" w:themeFill="background1" w:themeFillShade="F2"/>
            <w:vAlign w:val="center"/>
          </w:tcPr>
          <w:p w:rsidR="00FB555C" w:rsidRPr="00866BE0" w:rsidRDefault="00E35D2F" w:rsidP="009A391D">
            <w:pPr>
              <w:jc w:val="center"/>
              <w:rPr>
                <w:rFonts w:cs="Arial"/>
                <w:sz w:val="20"/>
                <w:szCs w:val="20"/>
              </w:rPr>
            </w:pPr>
            <w:r>
              <w:rPr>
                <w:rFonts w:cs="Arial"/>
                <w:sz w:val="20"/>
                <w:szCs w:val="20"/>
              </w:rPr>
              <w:t>N/A</w:t>
            </w:r>
          </w:p>
        </w:tc>
      </w:tr>
    </w:tbl>
    <w:p w:rsidR="005C72A7" w:rsidRDefault="005C72A7" w:rsidP="005C72A7">
      <w:pPr>
        <w:spacing w:before="240"/>
      </w:pPr>
      <w:r>
        <w:t xml:space="preserve">Adapted from the </w:t>
      </w:r>
      <w:hyperlink r:id="rId7" w:history="1">
        <w:r w:rsidRPr="005C72A7">
          <w:rPr>
            <w:rStyle w:val="Hyperlink"/>
          </w:rPr>
          <w:t>California ARB Air Quality Standards chart</w:t>
        </w:r>
      </w:hyperlink>
      <w:r>
        <w:t xml:space="preserve"> </w:t>
      </w:r>
    </w:p>
    <w:p w:rsidR="00CA3125" w:rsidRDefault="005C72A7" w:rsidP="005C72A7">
      <w:r w:rsidRPr="00CB2A3C">
        <w:rPr>
          <w:u w:val="single"/>
        </w:rPr>
        <w:t>Greenhouse Gases and Climate Change</w:t>
      </w:r>
      <w:r>
        <w:t>: Greenhouse gases do not have concentration standards for that purpose. Conformity requirements do not apply to greenhouse</w:t>
      </w:r>
      <w:r w:rsidR="00CB2A3C">
        <w:t xml:space="preserve"> gases.</w:t>
      </w:r>
    </w:p>
    <w:sectPr w:rsidR="00CA3125" w:rsidSect="00A245F2">
      <w:headerReference w:type="default" r:id="rId8"/>
      <w:footerReference w:type="default" r:id="rId9"/>
      <w:headerReference w:type="first" r:id="rId10"/>
      <w:footerReference w:type="first" r:id="rId11"/>
      <w:pgSz w:w="12240" w:h="15840"/>
      <w:pgMar w:top="1080" w:right="1440" w:bottom="144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6BE0" w:rsidRDefault="00866BE0" w:rsidP="00866BE0">
      <w:pPr>
        <w:spacing w:after="0"/>
      </w:pPr>
      <w:r>
        <w:separator/>
      </w:r>
    </w:p>
  </w:endnote>
  <w:endnote w:type="continuationSeparator" w:id="0">
    <w:p w:rsidR="00866BE0" w:rsidRDefault="00866BE0" w:rsidP="00866BE0">
      <w:pPr>
        <w:spacing w:after="0"/>
      </w:pPr>
      <w:r>
        <w:continuationSeparator/>
      </w:r>
    </w:p>
  </w:endnote>
  <w:endnote w:id="1">
    <w:p w:rsidR="00F97B28" w:rsidRDefault="00F97B28" w:rsidP="004839D5">
      <w:pPr>
        <w:pStyle w:val="EndnoteText"/>
        <w:ind w:left="180" w:hanging="180"/>
      </w:pPr>
      <w:r>
        <w:rPr>
          <w:rStyle w:val="EndnoteReference"/>
        </w:rPr>
        <w:endnoteRef/>
      </w:r>
      <w:r>
        <w:t xml:space="preserve"> </w:t>
      </w:r>
      <w:r w:rsidRPr="00F97B28">
        <w:t>California standards for ozone, carbon monoxide (except 8-hour Lake Tahoe), sulfur dioxide (1 and 24 hour), nitrogen dioxide, and particulate matter (PM10, PM2.5, and visibility reducing particles), are values that are not to be exceeded. All others are not to be equaled or exceeded. California ambient air quality standards are listed in the Table</w:t>
      </w:r>
      <w:bookmarkStart w:id="0" w:name="_GoBack"/>
      <w:bookmarkEnd w:id="0"/>
      <w:r w:rsidRPr="00F97B28">
        <w:t xml:space="preserve"> of Standards in Section 70200 of Title 17 of the California Code of Regulations.</w:t>
      </w:r>
    </w:p>
  </w:endnote>
  <w:endnote w:id="2">
    <w:p w:rsidR="00F97B28" w:rsidRDefault="00F97B28" w:rsidP="004839D5">
      <w:pPr>
        <w:pStyle w:val="EndnoteText"/>
        <w:ind w:left="180" w:hanging="180"/>
      </w:pPr>
      <w:r>
        <w:rPr>
          <w:rStyle w:val="EndnoteReference"/>
        </w:rPr>
        <w:endnoteRef/>
      </w:r>
      <w:r>
        <w:t xml:space="preserve"> </w:t>
      </w:r>
      <w:r w:rsidRPr="00F97B28">
        <w:t xml:space="preserve">Federal standards (other than ozone, particulate matter, and those based on annual arithmetic mean) are not to be exceeded more than once a year. The ozone standard is attained when the fourth highest 8-hour concentration measured at each site in a year, averaged over three years, is equal to or less than the standard. For PM10, the 24-hour standard is attained when the expected number of days per calendar year with a 24-hour average concentration above 150 </w:t>
      </w:r>
      <w:proofErr w:type="spellStart"/>
      <w:r w:rsidRPr="00F97B28">
        <w:t>μg</w:t>
      </w:r>
      <w:proofErr w:type="spellEnd"/>
      <w:r w:rsidRPr="00F97B28">
        <w:t>/m3 is equal to or less than one. For PM2.5, the 24-hour standard is attained when 98 percent of the daily concentrations, averaged over three years, are equal to or less than the standard. Contact the U.S. EPA for further clarification and current national policies.</w:t>
      </w:r>
    </w:p>
  </w:endnote>
  <w:endnote w:id="3">
    <w:p w:rsidR="00F97B28" w:rsidRDefault="00F97B28" w:rsidP="004839D5">
      <w:pPr>
        <w:pStyle w:val="EndnoteText"/>
        <w:ind w:left="180" w:hanging="180"/>
      </w:pPr>
      <w:r>
        <w:rPr>
          <w:rStyle w:val="EndnoteReference"/>
        </w:rPr>
        <w:endnoteRef/>
      </w:r>
      <w:r>
        <w:t xml:space="preserve"> </w:t>
      </w:r>
      <w:r w:rsidRPr="00B74763">
        <w:t xml:space="preserve">On October 1, 2015, the national 8-hour ozone primary and secondary standards were lowered from 0.075 to 0.070 ppm. Transportation conformity applies in newly designated nonattainment areas for the 2015 national 8-hour ozone primary and secondary standards on and after August 4th, 2019 (see </w:t>
      </w:r>
      <w:hyperlink r:id="rId1" w:history="1">
        <w:r w:rsidRPr="00AE0661">
          <w:rPr>
            <w:rStyle w:val="Hyperlink"/>
          </w:rPr>
          <w:t>Transportation Conformity Guidance for 2015 Ozone NAAQS Nonattainment Areas</w:t>
        </w:r>
      </w:hyperlink>
      <w:r w:rsidRPr="00B74763">
        <w:t>)</w:t>
      </w:r>
      <w:r>
        <w:t>.</w:t>
      </w:r>
    </w:p>
  </w:endnote>
  <w:endnote w:id="4">
    <w:p w:rsidR="00F97B28" w:rsidRDefault="00F97B28" w:rsidP="004839D5">
      <w:pPr>
        <w:pStyle w:val="EndnoteText"/>
        <w:ind w:left="180" w:hanging="180"/>
      </w:pPr>
      <w:r>
        <w:rPr>
          <w:rStyle w:val="EndnoteReference"/>
        </w:rPr>
        <w:endnoteRef/>
      </w:r>
      <w:r>
        <w:t xml:space="preserve"> </w:t>
      </w:r>
      <w:r w:rsidRPr="00B74763">
        <w:t>ppm = parts per million</w:t>
      </w:r>
    </w:p>
  </w:endnote>
  <w:endnote w:id="5">
    <w:p w:rsidR="00F97B28" w:rsidRDefault="00F97B28" w:rsidP="004839D5">
      <w:pPr>
        <w:pStyle w:val="EndnoteText"/>
        <w:ind w:left="180" w:hanging="180"/>
      </w:pPr>
      <w:r>
        <w:rPr>
          <w:rStyle w:val="EndnoteReference"/>
        </w:rPr>
        <w:endnoteRef/>
      </w:r>
      <w:r>
        <w:t xml:space="preserve"> </w:t>
      </w:r>
      <w:r w:rsidRPr="002E166F">
        <w:t xml:space="preserve">Transportation conformity requirements for CO no longer apply after June 1, 2018 for the following California Carbon Monoxide Maintenance Areas (see </w:t>
      </w:r>
      <w:hyperlink r:id="rId2" w:history="1">
        <w:r w:rsidRPr="002E166F">
          <w:rPr>
            <w:rStyle w:val="Hyperlink"/>
          </w:rPr>
          <w:t>U.S. EPA CO Maintenance Letter</w:t>
        </w:r>
      </w:hyperlink>
      <w:r w:rsidRPr="002E166F">
        <w:t>).</w:t>
      </w:r>
    </w:p>
  </w:endnote>
  <w:endnote w:id="6">
    <w:p w:rsidR="00F97B28" w:rsidRDefault="00F97B28" w:rsidP="004839D5">
      <w:pPr>
        <w:pStyle w:val="EndnoteText"/>
        <w:ind w:left="180" w:hanging="180"/>
      </w:pPr>
      <w:r>
        <w:rPr>
          <w:rStyle w:val="EndnoteReference"/>
        </w:rPr>
        <w:endnoteRef/>
      </w:r>
      <w:r>
        <w:t xml:space="preserve"> </w:t>
      </w:r>
      <w:r w:rsidRPr="00AE42BC">
        <w:t xml:space="preserve">On December 14, 2012, the national annual PM2.5 primary standard was lowered from 15 </w:t>
      </w:r>
      <w:proofErr w:type="spellStart"/>
      <w:r w:rsidRPr="00AE42BC">
        <w:t>μg</w:t>
      </w:r>
      <w:proofErr w:type="spellEnd"/>
      <w:r w:rsidRPr="00AE42BC">
        <w:t>/m</w:t>
      </w:r>
      <w:r w:rsidRPr="00AE42BC">
        <w:rPr>
          <w:vertAlign w:val="superscript"/>
        </w:rPr>
        <w:t>3</w:t>
      </w:r>
      <w:r w:rsidRPr="00AE42BC">
        <w:t xml:space="preserve"> to 12 </w:t>
      </w:r>
      <w:proofErr w:type="spellStart"/>
      <w:r w:rsidRPr="00AE42BC">
        <w:t>μg</w:t>
      </w:r>
      <w:proofErr w:type="spellEnd"/>
      <w:r w:rsidRPr="00AE42BC">
        <w:t>/m</w:t>
      </w:r>
      <w:r w:rsidRPr="00AE42BC">
        <w:rPr>
          <w:vertAlign w:val="superscript"/>
        </w:rPr>
        <w:t>3</w:t>
      </w:r>
      <w:r w:rsidRPr="00AE42BC">
        <w:t xml:space="preserve">. The existing national 24-hour PM2.5 standards (primary and secondary) were retained at 35 </w:t>
      </w:r>
      <w:proofErr w:type="spellStart"/>
      <w:r w:rsidRPr="00AE42BC">
        <w:t>μg</w:t>
      </w:r>
      <w:proofErr w:type="spellEnd"/>
      <w:r w:rsidRPr="00AE42BC">
        <w:t>/m</w:t>
      </w:r>
      <w:r w:rsidRPr="00AE42BC">
        <w:rPr>
          <w:vertAlign w:val="superscript"/>
        </w:rPr>
        <w:t>3</w:t>
      </w:r>
      <w:r w:rsidRPr="00AE42BC">
        <w:t xml:space="preserve">, as was the annual secondary standard of 15 </w:t>
      </w:r>
      <w:proofErr w:type="spellStart"/>
      <w:r w:rsidRPr="00AE42BC">
        <w:t>μg</w:t>
      </w:r>
      <w:proofErr w:type="spellEnd"/>
      <w:r w:rsidRPr="00AE42BC">
        <w:t>/m</w:t>
      </w:r>
      <w:r w:rsidRPr="00AE42BC">
        <w:rPr>
          <w:vertAlign w:val="superscript"/>
        </w:rPr>
        <w:t>3</w:t>
      </w:r>
      <w:r w:rsidRPr="00AE42BC">
        <w:t xml:space="preserve">. The existing 24-hour PM10 standards (primary and secondary) of 150 </w:t>
      </w:r>
      <w:proofErr w:type="spellStart"/>
      <w:r w:rsidRPr="00AE42BC">
        <w:t>μg</w:t>
      </w:r>
      <w:proofErr w:type="spellEnd"/>
      <w:r w:rsidRPr="00AE42BC">
        <w:t>/m</w:t>
      </w:r>
      <w:r w:rsidRPr="00AE42BC">
        <w:rPr>
          <w:vertAlign w:val="superscript"/>
        </w:rPr>
        <w:t>3</w:t>
      </w:r>
      <w:r w:rsidRPr="00AE42BC">
        <w:t xml:space="preserve"> also were retained. The form of the annual primary and secondary standards is the annual mean, averaged over 3 years.</w:t>
      </w:r>
    </w:p>
  </w:endnote>
  <w:endnote w:id="7">
    <w:p w:rsidR="00F97B28" w:rsidRDefault="00F97B28" w:rsidP="004839D5">
      <w:pPr>
        <w:pStyle w:val="EndnoteText"/>
        <w:ind w:left="180" w:hanging="180"/>
      </w:pPr>
      <w:r>
        <w:rPr>
          <w:rStyle w:val="EndnoteReference"/>
        </w:rPr>
        <w:endnoteRef/>
      </w:r>
      <w:r>
        <w:t xml:space="preserve"> </w:t>
      </w:r>
      <w:proofErr w:type="spellStart"/>
      <w:r w:rsidRPr="00702CCC">
        <w:t>μg</w:t>
      </w:r>
      <w:proofErr w:type="spellEnd"/>
      <w:r w:rsidRPr="00702CCC">
        <w:t>/m</w:t>
      </w:r>
      <w:r w:rsidRPr="00702CCC">
        <w:rPr>
          <w:vertAlign w:val="superscript"/>
        </w:rPr>
        <w:t>3</w:t>
      </w:r>
      <w:r w:rsidRPr="00702CCC">
        <w:t xml:space="preserve"> = micrograms per cubic meter</w:t>
      </w:r>
    </w:p>
  </w:endnote>
  <w:endnote w:id="8">
    <w:p w:rsidR="00CC5872" w:rsidRDefault="00CC5872" w:rsidP="004839D5">
      <w:pPr>
        <w:pStyle w:val="EndnoteText"/>
        <w:ind w:left="180" w:hanging="180"/>
      </w:pPr>
      <w:r>
        <w:rPr>
          <w:rStyle w:val="EndnoteReference"/>
        </w:rPr>
        <w:endnoteRef/>
      </w:r>
      <w:r>
        <w:t xml:space="preserve"> </w:t>
      </w:r>
      <w:r w:rsidRPr="00CC5872">
        <w:t xml:space="preserve">The 65 </w:t>
      </w:r>
      <w:proofErr w:type="spellStart"/>
      <w:r w:rsidRPr="00CC5872">
        <w:t>μg</w:t>
      </w:r>
      <w:proofErr w:type="spellEnd"/>
      <w:r w:rsidRPr="00CC5872">
        <w:t>/m</w:t>
      </w:r>
      <w:r w:rsidRPr="00CC5872">
        <w:rPr>
          <w:vertAlign w:val="superscript"/>
        </w:rPr>
        <w:t>3</w:t>
      </w:r>
      <w:r w:rsidRPr="00CC5872">
        <w:t xml:space="preserve"> PM2.5 (24-hr) NAAQS was not revoked when the 35 </w:t>
      </w:r>
      <w:proofErr w:type="spellStart"/>
      <w:r w:rsidRPr="00CC5872">
        <w:t>μg</w:t>
      </w:r>
      <w:proofErr w:type="spellEnd"/>
      <w:r w:rsidRPr="00CC5872">
        <w:t>/m</w:t>
      </w:r>
      <w:r w:rsidRPr="00CC5872">
        <w:rPr>
          <w:vertAlign w:val="superscript"/>
        </w:rPr>
        <w:t>3</w:t>
      </w:r>
      <w:r w:rsidRPr="00CC5872">
        <w:t xml:space="preserve"> NAAQS was promulgated in 2006. The 15 </w:t>
      </w:r>
      <w:proofErr w:type="spellStart"/>
      <w:r w:rsidRPr="00CC5872">
        <w:t>μg</w:t>
      </w:r>
      <w:proofErr w:type="spellEnd"/>
      <w:r w:rsidRPr="00CC5872">
        <w:t>/m</w:t>
      </w:r>
      <w:r w:rsidRPr="00CC5872">
        <w:rPr>
          <w:vertAlign w:val="superscript"/>
        </w:rPr>
        <w:t>3</w:t>
      </w:r>
      <w:r>
        <w:t xml:space="preserve"> </w:t>
      </w:r>
      <w:r w:rsidRPr="00CC5872">
        <w:t xml:space="preserve">annual PM2.5 standard was not revoked when the 12 </w:t>
      </w:r>
      <w:proofErr w:type="spellStart"/>
      <w:r w:rsidRPr="00CC5872">
        <w:t>μg</w:t>
      </w:r>
      <w:proofErr w:type="spellEnd"/>
      <w:r w:rsidRPr="00CC5872">
        <w:t>/m</w:t>
      </w:r>
      <w:r w:rsidRPr="00CC5872">
        <w:rPr>
          <w:vertAlign w:val="superscript"/>
        </w:rPr>
        <w:t>3</w:t>
      </w:r>
      <w:r>
        <w:t xml:space="preserve"> </w:t>
      </w:r>
      <w:r w:rsidRPr="00CC5872">
        <w:t>standard was promulgated in 2012. Therefore, for areas designated nonattainment or nonattainment/maintenance for the 1997 and or 2006 PM2.5 NAAQS, conformity requirements still apply until the NAAQS are fully revoked.</w:t>
      </w:r>
    </w:p>
  </w:endnote>
  <w:endnote w:id="9">
    <w:p w:rsidR="00CC5872" w:rsidRDefault="00CC5872" w:rsidP="004839D5">
      <w:pPr>
        <w:pStyle w:val="EndnoteText"/>
        <w:ind w:left="180" w:hanging="180"/>
      </w:pPr>
      <w:r>
        <w:rPr>
          <w:rStyle w:val="EndnoteReference"/>
        </w:rPr>
        <w:endnoteRef/>
      </w:r>
      <w:r>
        <w:t xml:space="preserve"> </w:t>
      </w:r>
      <w:r w:rsidRPr="00CC5872">
        <w:t>Final 1-hour NO2 NAAQS published in the Federal Register on 2/9/2010, effective 3/9/2010.  Initial area designation for California (2012) was attainment/unclassifiable throughout. Project-level hot spot analysis requirements do not currently exist. Near-road monitoring starting in 2013 may cause re-designation to nonattainment in some areas after 2016.</w:t>
      </w:r>
    </w:p>
  </w:endnote>
  <w:endnote w:id="10">
    <w:p w:rsidR="00CC5872" w:rsidRDefault="00CC5872" w:rsidP="004839D5">
      <w:pPr>
        <w:pStyle w:val="EndnoteText"/>
        <w:ind w:left="180" w:hanging="180"/>
      </w:pPr>
      <w:r>
        <w:rPr>
          <w:rStyle w:val="EndnoteReference"/>
        </w:rPr>
        <w:endnoteRef/>
      </w:r>
      <w:r>
        <w:t xml:space="preserve"> </w:t>
      </w:r>
      <w:r w:rsidR="00907BAE" w:rsidRPr="00907BAE">
        <w:t>On June 2, 2010, a new 1-hour SO</w:t>
      </w:r>
      <w:r w:rsidR="00907BAE" w:rsidRPr="00907BAE">
        <w:rPr>
          <w:vertAlign w:val="subscript"/>
        </w:rPr>
        <w:t>2</w:t>
      </w:r>
      <w:r w:rsidR="00907BAE" w:rsidRPr="00907BAE">
        <w:t xml:space="preserve"> standard was established and the existing 24-hour and annual primary standards were revoked. To attain the 1-hour national standard, the 3-year average of the annual 99th percentile of the 1-hour daily maximum concentrations at each site must not exceed 75ppb. The 1971 SO2 national standards (24-hour and annual) remain in effect until one year after an area is designated for the 2010 standard, except that in areas designated nonattainment for the 1971 standards, the 1971 standards remain in effect until implementation plans to attain or maintain the 2010 standards are approved.</w:t>
      </w:r>
    </w:p>
  </w:endnote>
  <w:endnote w:id="11">
    <w:p w:rsidR="00CC5872" w:rsidRDefault="00CC5872" w:rsidP="004839D5">
      <w:pPr>
        <w:pStyle w:val="EndnoteText"/>
        <w:ind w:left="180" w:hanging="180"/>
      </w:pPr>
      <w:r>
        <w:rPr>
          <w:rStyle w:val="EndnoteReference"/>
        </w:rPr>
        <w:endnoteRef/>
      </w:r>
      <w:r>
        <w:t xml:space="preserve"> </w:t>
      </w:r>
      <w:r w:rsidR="00907BAE">
        <w:t>Secondary standard, the levels of air quality necessary to protect the public welfare from any known or anticipated adverse effects of a pollutant rather than health.  Conformity and environmental analysis address both primary and secondary NAAQS.</w:t>
      </w:r>
    </w:p>
  </w:endnote>
  <w:endnote w:id="12">
    <w:p w:rsidR="00CC5872" w:rsidRDefault="00CC5872" w:rsidP="004839D5">
      <w:pPr>
        <w:pStyle w:val="EndnoteText"/>
        <w:ind w:left="180" w:hanging="180"/>
      </w:pPr>
      <w:r>
        <w:rPr>
          <w:rStyle w:val="EndnoteReference"/>
        </w:rPr>
        <w:endnoteRef/>
      </w:r>
      <w:r>
        <w:t xml:space="preserve"> </w:t>
      </w:r>
      <w:r w:rsidR="00907BAE" w:rsidRPr="00907BAE">
        <w:t>The ARB has identified vinyl chloride and the particulate matter fraction of diesel exhaust as toxic air contaminants. Diesel exhaust particulate matter is part of PM</w:t>
      </w:r>
      <w:r w:rsidR="00907BAE" w:rsidRPr="00907BAE">
        <w:rPr>
          <w:vertAlign w:val="subscript"/>
        </w:rPr>
        <w:t>10</w:t>
      </w:r>
      <w:r w:rsidR="00907BAE" w:rsidRPr="00907BAE">
        <w:t xml:space="preserve"> and, in larger proportion, PM</w:t>
      </w:r>
      <w:r w:rsidR="00907BAE" w:rsidRPr="00D73AAB">
        <w:rPr>
          <w:vertAlign w:val="subscript"/>
        </w:rPr>
        <w:t>2.5</w:t>
      </w:r>
      <w:r w:rsidR="00907BAE" w:rsidRPr="00907BAE">
        <w:t>. Both the ARB and U.S. EPA have identified lead and various organic compounds that are precursors to ozone and PM</w:t>
      </w:r>
      <w:r w:rsidR="00907BAE" w:rsidRPr="00907BAE">
        <w:rPr>
          <w:vertAlign w:val="subscript"/>
        </w:rPr>
        <w:t>2.5</w:t>
      </w:r>
      <w:r w:rsidR="00907BAE" w:rsidRPr="00907BAE">
        <w:t xml:space="preserve"> as toxic air contaminants. There are no exposure criteria for adverse health effect due to toxic air contaminants, and control requirements may apply at ambient concentrations below any criteria levels specified above for these pollutants or the general categories of pollutants to which they belong.</w:t>
      </w:r>
    </w:p>
  </w:endnote>
  <w:endnote w:id="13">
    <w:p w:rsidR="00CC5872" w:rsidRDefault="00CC5872" w:rsidP="004839D5">
      <w:pPr>
        <w:pStyle w:val="EndnoteText"/>
        <w:ind w:left="180" w:hanging="180"/>
      </w:pPr>
      <w:r>
        <w:rPr>
          <w:rStyle w:val="EndnoteReference"/>
        </w:rPr>
        <w:endnoteRef/>
      </w:r>
      <w:r>
        <w:t xml:space="preserve"> </w:t>
      </w:r>
      <w:r w:rsidR="00D73AAB" w:rsidRPr="00D73AAB">
        <w:t>Lead NAAQS are not considered in Transportation Conformity analysis.</w:t>
      </w:r>
    </w:p>
  </w:endnote>
  <w:endnote w:id="14">
    <w:p w:rsidR="00CC5872" w:rsidRDefault="00CC5872" w:rsidP="004839D5">
      <w:pPr>
        <w:pStyle w:val="EndnoteText"/>
        <w:ind w:left="180" w:hanging="180"/>
      </w:pPr>
      <w:r>
        <w:rPr>
          <w:rStyle w:val="EndnoteReference"/>
        </w:rPr>
        <w:endnoteRef/>
      </w:r>
      <w:r>
        <w:t xml:space="preserve"> </w:t>
      </w:r>
      <w:r w:rsidR="00D73AAB" w:rsidRPr="00D73AAB">
        <w:t>In 1989, the ARB converted both the general statewide 10-mile visibility standard and the Lake Tahoe 30-mile visibility standard to instrumental equivalents, which are "extinction of 0.23 per kilometer" and "extinction of 0.07 per kilometer" for the statewide and Lake Tahoe Air Basin standards, respectively.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01346111"/>
      <w:docPartObj>
        <w:docPartGallery w:val="Page Numbers (Bottom of Page)"/>
        <w:docPartUnique/>
      </w:docPartObj>
    </w:sdtPr>
    <w:sdtEndPr/>
    <w:sdtContent>
      <w:sdt>
        <w:sdtPr>
          <w:rPr>
            <w:sz w:val="20"/>
            <w:szCs w:val="20"/>
          </w:rPr>
          <w:id w:val="-116458154"/>
          <w:docPartObj>
            <w:docPartGallery w:val="Page Numbers (Top of Page)"/>
            <w:docPartUnique/>
          </w:docPartObj>
        </w:sdtPr>
        <w:sdtEndPr/>
        <w:sdtContent>
          <w:p w:rsidR="00866BE0" w:rsidRPr="00E67A9D" w:rsidRDefault="00866BE0" w:rsidP="00866BE0">
            <w:pPr>
              <w:pStyle w:val="Footer"/>
              <w:tabs>
                <w:tab w:val="clear" w:pos="4680"/>
                <w:tab w:val="clear" w:pos="9360"/>
                <w:tab w:val="center" w:pos="6480"/>
                <w:tab w:val="right" w:pos="12960"/>
              </w:tabs>
              <w:rPr>
                <w:sz w:val="20"/>
                <w:szCs w:val="20"/>
              </w:rPr>
            </w:pPr>
            <w:r w:rsidRPr="00CB1DCE">
              <w:rPr>
                <w:i/>
                <w:sz w:val="20"/>
                <w:szCs w:val="20"/>
              </w:rPr>
              <w:t>Revised May 2020</w:t>
            </w:r>
            <w:r w:rsidRPr="0048292A">
              <w:rPr>
                <w:sz w:val="20"/>
                <w:szCs w:val="20"/>
              </w:rPr>
              <w:tab/>
            </w:r>
            <w:r>
              <w:rPr>
                <w:sz w:val="20"/>
                <w:szCs w:val="20"/>
              </w:rPr>
              <w:tab/>
            </w:r>
            <w:r w:rsidRPr="0048292A">
              <w:rPr>
                <w:sz w:val="20"/>
                <w:szCs w:val="20"/>
              </w:rPr>
              <w:t xml:space="preserve">Page </w:t>
            </w:r>
            <w:r w:rsidRPr="0048292A">
              <w:rPr>
                <w:b/>
                <w:bCs/>
                <w:sz w:val="20"/>
                <w:szCs w:val="20"/>
              </w:rPr>
              <w:fldChar w:fldCharType="begin"/>
            </w:r>
            <w:r w:rsidRPr="0048292A">
              <w:rPr>
                <w:b/>
                <w:bCs/>
                <w:sz w:val="20"/>
                <w:szCs w:val="20"/>
              </w:rPr>
              <w:instrText xml:space="preserve"> PAGE </w:instrText>
            </w:r>
            <w:r w:rsidRPr="0048292A">
              <w:rPr>
                <w:b/>
                <w:bCs/>
                <w:sz w:val="20"/>
                <w:szCs w:val="20"/>
              </w:rPr>
              <w:fldChar w:fldCharType="separate"/>
            </w:r>
            <w:r>
              <w:rPr>
                <w:b/>
                <w:bCs/>
                <w:sz w:val="20"/>
                <w:szCs w:val="20"/>
              </w:rPr>
              <w:t>1</w:t>
            </w:r>
            <w:r w:rsidRPr="0048292A">
              <w:rPr>
                <w:b/>
                <w:bCs/>
                <w:sz w:val="20"/>
                <w:szCs w:val="20"/>
              </w:rPr>
              <w:fldChar w:fldCharType="end"/>
            </w:r>
            <w:r w:rsidRPr="0048292A">
              <w:rPr>
                <w:sz w:val="20"/>
                <w:szCs w:val="20"/>
              </w:rPr>
              <w:t xml:space="preserve"> of </w:t>
            </w:r>
            <w:r w:rsidRPr="0048292A">
              <w:rPr>
                <w:b/>
                <w:bCs/>
                <w:sz w:val="20"/>
                <w:szCs w:val="20"/>
              </w:rPr>
              <w:fldChar w:fldCharType="begin"/>
            </w:r>
            <w:r w:rsidRPr="0048292A">
              <w:rPr>
                <w:b/>
                <w:bCs/>
                <w:sz w:val="20"/>
                <w:szCs w:val="20"/>
              </w:rPr>
              <w:instrText xml:space="preserve"> NUMPAGES  </w:instrText>
            </w:r>
            <w:r w:rsidRPr="0048292A">
              <w:rPr>
                <w:b/>
                <w:bCs/>
                <w:sz w:val="20"/>
                <w:szCs w:val="20"/>
              </w:rPr>
              <w:fldChar w:fldCharType="separate"/>
            </w:r>
            <w:r>
              <w:rPr>
                <w:b/>
                <w:bCs/>
                <w:sz w:val="20"/>
                <w:szCs w:val="20"/>
              </w:rPr>
              <w:t>3</w:t>
            </w:r>
            <w:r w:rsidRPr="0048292A">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63929998"/>
      <w:docPartObj>
        <w:docPartGallery w:val="Page Numbers (Bottom of Page)"/>
        <w:docPartUnique/>
      </w:docPartObj>
    </w:sdtPr>
    <w:sdtEndPr/>
    <w:sdtContent>
      <w:sdt>
        <w:sdtPr>
          <w:rPr>
            <w:sz w:val="20"/>
            <w:szCs w:val="20"/>
          </w:rPr>
          <w:id w:val="59758175"/>
          <w:docPartObj>
            <w:docPartGallery w:val="Page Numbers (Top of Page)"/>
            <w:docPartUnique/>
          </w:docPartObj>
        </w:sdtPr>
        <w:sdtEndPr/>
        <w:sdtContent>
          <w:p w:rsidR="00A245F2" w:rsidRPr="00A245F2" w:rsidRDefault="00A245F2" w:rsidP="00A245F2">
            <w:pPr>
              <w:pStyle w:val="Footer"/>
              <w:tabs>
                <w:tab w:val="clear" w:pos="4680"/>
                <w:tab w:val="clear" w:pos="9360"/>
                <w:tab w:val="center" w:pos="6480"/>
                <w:tab w:val="right" w:pos="12960"/>
              </w:tabs>
              <w:rPr>
                <w:sz w:val="20"/>
                <w:szCs w:val="20"/>
              </w:rPr>
            </w:pPr>
            <w:r w:rsidRPr="00CB1DCE">
              <w:rPr>
                <w:i/>
                <w:sz w:val="20"/>
                <w:szCs w:val="20"/>
              </w:rPr>
              <w:t>Revised May 2020</w:t>
            </w:r>
            <w:r w:rsidRPr="0048292A">
              <w:rPr>
                <w:sz w:val="20"/>
                <w:szCs w:val="20"/>
              </w:rPr>
              <w:tab/>
            </w:r>
            <w:r>
              <w:rPr>
                <w:sz w:val="20"/>
                <w:szCs w:val="20"/>
              </w:rPr>
              <w:tab/>
            </w:r>
            <w:r w:rsidRPr="0048292A">
              <w:rPr>
                <w:sz w:val="20"/>
                <w:szCs w:val="20"/>
              </w:rPr>
              <w:t xml:space="preserve">Page </w:t>
            </w:r>
            <w:r w:rsidRPr="0048292A">
              <w:rPr>
                <w:b/>
                <w:bCs/>
                <w:sz w:val="20"/>
                <w:szCs w:val="20"/>
              </w:rPr>
              <w:fldChar w:fldCharType="begin"/>
            </w:r>
            <w:r w:rsidRPr="0048292A">
              <w:rPr>
                <w:b/>
                <w:bCs/>
                <w:sz w:val="20"/>
                <w:szCs w:val="20"/>
              </w:rPr>
              <w:instrText xml:space="preserve"> PAGE </w:instrText>
            </w:r>
            <w:r w:rsidRPr="0048292A">
              <w:rPr>
                <w:b/>
                <w:bCs/>
                <w:sz w:val="20"/>
                <w:szCs w:val="20"/>
              </w:rPr>
              <w:fldChar w:fldCharType="separate"/>
            </w:r>
            <w:r>
              <w:rPr>
                <w:b/>
                <w:bCs/>
                <w:sz w:val="20"/>
                <w:szCs w:val="20"/>
              </w:rPr>
              <w:t>2</w:t>
            </w:r>
            <w:r w:rsidRPr="0048292A">
              <w:rPr>
                <w:b/>
                <w:bCs/>
                <w:sz w:val="20"/>
                <w:szCs w:val="20"/>
              </w:rPr>
              <w:fldChar w:fldCharType="end"/>
            </w:r>
            <w:r w:rsidRPr="0048292A">
              <w:rPr>
                <w:sz w:val="20"/>
                <w:szCs w:val="20"/>
              </w:rPr>
              <w:t xml:space="preserve"> of </w:t>
            </w:r>
            <w:r w:rsidRPr="0048292A">
              <w:rPr>
                <w:b/>
                <w:bCs/>
                <w:sz w:val="20"/>
                <w:szCs w:val="20"/>
              </w:rPr>
              <w:fldChar w:fldCharType="begin"/>
            </w:r>
            <w:r w:rsidRPr="0048292A">
              <w:rPr>
                <w:b/>
                <w:bCs/>
                <w:sz w:val="20"/>
                <w:szCs w:val="20"/>
              </w:rPr>
              <w:instrText xml:space="preserve"> NUMPAGES  </w:instrText>
            </w:r>
            <w:r w:rsidRPr="0048292A">
              <w:rPr>
                <w:b/>
                <w:bCs/>
                <w:sz w:val="20"/>
                <w:szCs w:val="20"/>
              </w:rPr>
              <w:fldChar w:fldCharType="separate"/>
            </w:r>
            <w:r>
              <w:rPr>
                <w:b/>
                <w:bCs/>
                <w:sz w:val="20"/>
                <w:szCs w:val="20"/>
              </w:rPr>
              <w:t>5</w:t>
            </w:r>
            <w:r w:rsidRPr="0048292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6BE0" w:rsidRDefault="00866BE0" w:rsidP="00866BE0">
      <w:pPr>
        <w:spacing w:after="0"/>
      </w:pPr>
      <w:r>
        <w:separator/>
      </w:r>
    </w:p>
  </w:footnote>
  <w:footnote w:type="continuationSeparator" w:id="0">
    <w:p w:rsidR="00866BE0" w:rsidRDefault="00866BE0" w:rsidP="00866B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BE0" w:rsidRDefault="00866BE0" w:rsidP="00866BE0">
    <w:pPr>
      <w:pStyle w:val="Header"/>
      <w:ind w:lef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5F2" w:rsidRDefault="00A245F2" w:rsidP="00A245F2">
    <w:pPr>
      <w:pStyle w:val="Header"/>
      <w:ind w:left="-990"/>
    </w:pPr>
    <w:r>
      <w:rPr>
        <w:noProof/>
      </w:rPr>
      <w:drawing>
        <wp:inline distT="0" distB="0" distL="0" distR="0" wp14:anchorId="38FB67EE" wp14:editId="1FCEF107">
          <wp:extent cx="594360" cy="338328"/>
          <wp:effectExtent l="0" t="0" r="0" b="5080"/>
          <wp:docPr id="11" name="Picture 11"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125"/>
    <w:rsid w:val="00014D3A"/>
    <w:rsid w:val="0006249E"/>
    <w:rsid w:val="00252457"/>
    <w:rsid w:val="002A613B"/>
    <w:rsid w:val="00361898"/>
    <w:rsid w:val="0036758F"/>
    <w:rsid w:val="003B7822"/>
    <w:rsid w:val="00450693"/>
    <w:rsid w:val="004839D5"/>
    <w:rsid w:val="00503CD6"/>
    <w:rsid w:val="00553AF9"/>
    <w:rsid w:val="0056334C"/>
    <w:rsid w:val="0057594E"/>
    <w:rsid w:val="005A7058"/>
    <w:rsid w:val="005B0BB2"/>
    <w:rsid w:val="005C72A7"/>
    <w:rsid w:val="006426A0"/>
    <w:rsid w:val="006F5283"/>
    <w:rsid w:val="007217CE"/>
    <w:rsid w:val="00746EA9"/>
    <w:rsid w:val="00773762"/>
    <w:rsid w:val="00842F9A"/>
    <w:rsid w:val="0085403A"/>
    <w:rsid w:val="00866BE0"/>
    <w:rsid w:val="008D15A3"/>
    <w:rsid w:val="008D7FEE"/>
    <w:rsid w:val="00907BAE"/>
    <w:rsid w:val="00912E6E"/>
    <w:rsid w:val="009175FF"/>
    <w:rsid w:val="00921880"/>
    <w:rsid w:val="009A391D"/>
    <w:rsid w:val="009B7EAD"/>
    <w:rsid w:val="00A03D68"/>
    <w:rsid w:val="00A245F2"/>
    <w:rsid w:val="00A2788A"/>
    <w:rsid w:val="00A7014E"/>
    <w:rsid w:val="00A9569D"/>
    <w:rsid w:val="00B3469A"/>
    <w:rsid w:val="00B37BA0"/>
    <w:rsid w:val="00B6698F"/>
    <w:rsid w:val="00B93C92"/>
    <w:rsid w:val="00BE029E"/>
    <w:rsid w:val="00C27FB3"/>
    <w:rsid w:val="00C971CD"/>
    <w:rsid w:val="00CA3125"/>
    <w:rsid w:val="00CB2A3C"/>
    <w:rsid w:val="00CC5872"/>
    <w:rsid w:val="00D1427B"/>
    <w:rsid w:val="00D73AAB"/>
    <w:rsid w:val="00DC5136"/>
    <w:rsid w:val="00E114FD"/>
    <w:rsid w:val="00E35D2F"/>
    <w:rsid w:val="00F377B8"/>
    <w:rsid w:val="00F97B28"/>
    <w:rsid w:val="00FB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ABA899"/>
  <w15:chartTrackingRefBased/>
  <w15:docId w15:val="{A807EEBD-FC23-4A02-A818-5F6AA569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0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540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1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 Title"/>
    <w:basedOn w:val="Heading1"/>
    <w:link w:val="FormTitleChar"/>
    <w:qFormat/>
    <w:rsid w:val="0085403A"/>
    <w:pPr>
      <w:spacing w:before="0" w:after="120"/>
      <w:jc w:val="center"/>
    </w:pPr>
    <w:rPr>
      <w:rFonts w:ascii="Arial Bold" w:hAnsi="Arial Bold"/>
      <w:b/>
    </w:rPr>
  </w:style>
  <w:style w:type="paragraph" w:customStyle="1" w:styleId="FormCategory">
    <w:name w:val="Form Category"/>
    <w:basedOn w:val="Heading2"/>
    <w:next w:val="Normal"/>
    <w:link w:val="FormCategoryChar"/>
    <w:qFormat/>
    <w:rsid w:val="0085403A"/>
    <w:pPr>
      <w:spacing w:before="0" w:after="120"/>
    </w:pPr>
    <w:rPr>
      <w:rFonts w:ascii="Arial Bold" w:hAnsi="Arial Bold"/>
      <w:b/>
      <w:color w:val="auto"/>
      <w:sz w:val="24"/>
      <w:u w:val="single"/>
    </w:rPr>
  </w:style>
  <w:style w:type="character" w:customStyle="1" w:styleId="FormCategoryChar">
    <w:name w:val="Form Category Char"/>
    <w:basedOn w:val="DefaultParagraphFont"/>
    <w:link w:val="FormCategory"/>
    <w:rsid w:val="0085403A"/>
    <w:rPr>
      <w:rFonts w:ascii="Arial Bold" w:eastAsiaTheme="majorEastAsia" w:hAnsi="Arial Bold" w:cstheme="majorBidi"/>
      <w:b/>
      <w:szCs w:val="26"/>
      <w:u w:val="single"/>
    </w:rPr>
  </w:style>
  <w:style w:type="character" w:customStyle="1" w:styleId="FormTitleChar">
    <w:name w:val="Form Title Char"/>
    <w:basedOn w:val="Heading1Char"/>
    <w:link w:val="FormTitle"/>
    <w:rsid w:val="0085403A"/>
    <w:rPr>
      <w:rFonts w:ascii="Arial Bold" w:eastAsiaTheme="majorEastAsia" w:hAnsi="Arial Bold" w:cstheme="majorBidi"/>
      <w:b/>
      <w:color w:val="2F5496" w:themeColor="accent1" w:themeShade="BF"/>
      <w:sz w:val="32"/>
      <w:szCs w:val="32"/>
    </w:rPr>
  </w:style>
  <w:style w:type="character" w:customStyle="1" w:styleId="Heading1Char">
    <w:name w:val="Heading 1 Char"/>
    <w:basedOn w:val="DefaultParagraphFont"/>
    <w:link w:val="Heading1"/>
    <w:uiPriority w:val="9"/>
    <w:rsid w:val="008540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5403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66BE0"/>
    <w:pPr>
      <w:tabs>
        <w:tab w:val="center" w:pos="4680"/>
        <w:tab w:val="right" w:pos="9360"/>
      </w:tabs>
      <w:spacing w:after="0"/>
    </w:pPr>
  </w:style>
  <w:style w:type="character" w:customStyle="1" w:styleId="HeaderChar">
    <w:name w:val="Header Char"/>
    <w:basedOn w:val="DefaultParagraphFont"/>
    <w:link w:val="Header"/>
    <w:uiPriority w:val="99"/>
    <w:rsid w:val="00866BE0"/>
  </w:style>
  <w:style w:type="paragraph" w:styleId="Footer">
    <w:name w:val="footer"/>
    <w:basedOn w:val="Normal"/>
    <w:link w:val="FooterChar"/>
    <w:uiPriority w:val="99"/>
    <w:unhideWhenUsed/>
    <w:rsid w:val="00866BE0"/>
    <w:pPr>
      <w:tabs>
        <w:tab w:val="center" w:pos="4680"/>
        <w:tab w:val="right" w:pos="9360"/>
      </w:tabs>
      <w:spacing w:after="0"/>
    </w:pPr>
  </w:style>
  <w:style w:type="character" w:customStyle="1" w:styleId="FooterChar">
    <w:name w:val="Footer Char"/>
    <w:basedOn w:val="DefaultParagraphFont"/>
    <w:link w:val="Footer"/>
    <w:uiPriority w:val="99"/>
    <w:rsid w:val="00866BE0"/>
  </w:style>
  <w:style w:type="paragraph" w:styleId="BalloonText">
    <w:name w:val="Balloon Text"/>
    <w:basedOn w:val="Normal"/>
    <w:link w:val="BalloonTextChar"/>
    <w:uiPriority w:val="99"/>
    <w:semiHidden/>
    <w:unhideWhenUsed/>
    <w:rsid w:val="00866B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BE0"/>
    <w:rPr>
      <w:rFonts w:ascii="Segoe UI" w:hAnsi="Segoe UI" w:cs="Segoe UI"/>
      <w:sz w:val="18"/>
      <w:szCs w:val="18"/>
    </w:rPr>
  </w:style>
  <w:style w:type="paragraph" w:styleId="EndnoteText">
    <w:name w:val="endnote text"/>
    <w:basedOn w:val="Normal"/>
    <w:link w:val="EndnoteTextChar"/>
    <w:uiPriority w:val="99"/>
    <w:semiHidden/>
    <w:unhideWhenUsed/>
    <w:rsid w:val="00F97B28"/>
    <w:pPr>
      <w:spacing w:after="0"/>
    </w:pPr>
    <w:rPr>
      <w:sz w:val="20"/>
      <w:szCs w:val="20"/>
    </w:rPr>
  </w:style>
  <w:style w:type="character" w:customStyle="1" w:styleId="EndnoteTextChar">
    <w:name w:val="Endnote Text Char"/>
    <w:basedOn w:val="DefaultParagraphFont"/>
    <w:link w:val="EndnoteText"/>
    <w:uiPriority w:val="99"/>
    <w:semiHidden/>
    <w:rsid w:val="00F97B28"/>
    <w:rPr>
      <w:sz w:val="20"/>
      <w:szCs w:val="20"/>
    </w:rPr>
  </w:style>
  <w:style w:type="character" w:styleId="EndnoteReference">
    <w:name w:val="endnote reference"/>
    <w:basedOn w:val="DefaultParagraphFont"/>
    <w:uiPriority w:val="99"/>
    <w:semiHidden/>
    <w:unhideWhenUsed/>
    <w:rsid w:val="00F97B28"/>
    <w:rPr>
      <w:vertAlign w:val="superscript"/>
    </w:rPr>
  </w:style>
  <w:style w:type="character" w:styleId="Hyperlink">
    <w:name w:val="Hyperlink"/>
    <w:basedOn w:val="DefaultParagraphFont"/>
    <w:uiPriority w:val="99"/>
    <w:unhideWhenUsed/>
    <w:rsid w:val="00F97B28"/>
    <w:rPr>
      <w:color w:val="0563C1" w:themeColor="hyperlink"/>
      <w:u w:val="single"/>
    </w:rPr>
  </w:style>
  <w:style w:type="character" w:styleId="UnresolvedMention">
    <w:name w:val="Unresolved Mention"/>
    <w:basedOn w:val="DefaultParagraphFont"/>
    <w:uiPriority w:val="99"/>
    <w:semiHidden/>
    <w:unhideWhenUsed/>
    <w:rsid w:val="005C7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3.arb.ca.gov/research/aaqs/aaqs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dot.ca.gov/-/media/dot-media/programs/environmental-analysis/documents/co-maintenance-letter-a11y.pdf" TargetMode="External"/><Relationship Id="rId1" Type="http://schemas.openxmlformats.org/officeDocument/2006/relationships/hyperlink" Target="https://nepis.epa.gov/Exe/ZyPDF.cgi?Dockey=P100UN3X.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1A131-D045-4FE7-877A-814BE9D7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5</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Air Quality Pollution Standards Table</vt:lpstr>
    </vt:vector>
  </TitlesOfParts>
  <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Pollution Standards Table</dc:title>
  <dc:subject>AQ pollutant table with status</dc:subject>
  <dc:creator>Division of Environmental Analysis</dc:creator>
  <cp:keywords>Air Quality, pollutant, table</cp:keywords>
  <dc:description/>
  <cp:lastModifiedBy>Clark, Jennifer S@DOT</cp:lastModifiedBy>
  <cp:revision>38</cp:revision>
  <dcterms:created xsi:type="dcterms:W3CDTF">2020-05-21T16:18:00Z</dcterms:created>
  <dcterms:modified xsi:type="dcterms:W3CDTF">2020-05-27T18:14:00Z</dcterms:modified>
</cp:coreProperties>
</file>