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3DDB" w14:textId="7BDB4F59" w:rsidR="008A4F81" w:rsidRDefault="00955512" w:rsidP="00955512">
      <w:pPr>
        <w:jc w:val="center"/>
      </w:pPr>
      <w:r>
        <w:rPr>
          <w:noProof/>
        </w:rPr>
        <w:drawing>
          <wp:inline distT="0" distB="0" distL="0" distR="0" wp14:anchorId="0DC2B52A" wp14:editId="1361CEF6">
            <wp:extent cx="4762500" cy="8286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pic:spPr>
                </pic:pic>
              </a:graphicData>
            </a:graphic>
          </wp:inline>
        </w:drawing>
      </w:r>
    </w:p>
    <w:p w14:paraId="277FF5FB" w14:textId="75EAFE73" w:rsidR="00955512" w:rsidRPr="004A2004" w:rsidRDefault="00955512" w:rsidP="000F273D">
      <w:pPr>
        <w:pStyle w:val="Heading1"/>
        <w:jc w:val="center"/>
        <w:rPr>
          <w:rFonts w:ascii="Century Gothic" w:hAnsi="Century Gothic"/>
          <w:b/>
          <w:bCs/>
          <w:sz w:val="28"/>
          <w:szCs w:val="28"/>
        </w:rPr>
      </w:pPr>
      <w:r w:rsidRPr="004A2004">
        <w:rPr>
          <w:rFonts w:ascii="Century Gothic" w:hAnsi="Century Gothic"/>
          <w:b/>
          <w:bCs/>
          <w:sz w:val="36"/>
          <w:szCs w:val="36"/>
        </w:rPr>
        <w:t xml:space="preserve">Questions and Answers for Limited English Proficiency (LEP) Four-Factor Analysis </w:t>
      </w:r>
      <w:r w:rsidR="00ED0574">
        <w:rPr>
          <w:rFonts w:ascii="Century Gothic" w:hAnsi="Century Gothic"/>
          <w:b/>
          <w:bCs/>
          <w:sz w:val="36"/>
          <w:szCs w:val="36"/>
        </w:rPr>
        <w:t>Webinar</w:t>
      </w:r>
      <w:r w:rsidRPr="004A2004">
        <w:rPr>
          <w:rFonts w:ascii="Century Gothic" w:hAnsi="Century Gothic"/>
          <w:b/>
          <w:bCs/>
          <w:sz w:val="36"/>
          <w:szCs w:val="36"/>
        </w:rPr>
        <w:br/>
      </w:r>
      <w:r w:rsidRPr="004A2004">
        <w:rPr>
          <w:rFonts w:ascii="Century Gothic" w:hAnsi="Century Gothic"/>
          <w:b/>
          <w:bCs/>
          <w:sz w:val="28"/>
          <w:szCs w:val="28"/>
        </w:rPr>
        <w:t>(Date of Webinar: July 28, 2022)</w:t>
      </w:r>
    </w:p>
    <w:p w14:paraId="4E6A648A" w14:textId="77777777" w:rsidR="00695C5A" w:rsidRDefault="000F273D" w:rsidP="00955512">
      <w:pPr>
        <w:rPr>
          <w:rFonts w:ascii="Century Gothic" w:hAnsi="Century Gothic"/>
          <w:color w:val="0070C0"/>
          <w:sz w:val="24"/>
          <w:szCs w:val="24"/>
        </w:rPr>
      </w:pPr>
      <w:r w:rsidRPr="000F273D">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19C3F18" wp14:editId="2A4D6233">
                <wp:simplePos x="0" y="0"/>
                <wp:positionH relativeFrom="column">
                  <wp:posOffset>-342900</wp:posOffset>
                </wp:positionH>
                <wp:positionV relativeFrom="paragraph">
                  <wp:posOffset>180340</wp:posOffset>
                </wp:positionV>
                <wp:extent cx="6470015" cy="19050"/>
                <wp:effectExtent l="0" t="0" r="2603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001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BE328"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2pt" to="482.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" strokecolor="black [3213]" strokeweight="1.25pt">
                <v:stroke joinstyle="miter"/>
              </v:line>
            </w:pict>
          </mc:Fallback>
        </mc:AlternateContent>
      </w:r>
    </w:p>
    <w:p w14:paraId="7C4B861D" w14:textId="349519DA" w:rsidR="00695C5A" w:rsidRDefault="00695C5A" w:rsidP="00695C5A">
      <w:pPr>
        <w:jc w:val="both"/>
        <w:rPr>
          <w:rFonts w:ascii="Century Gothic" w:hAnsi="Century Gothic"/>
          <w:b/>
          <w:bCs/>
          <w:sz w:val="24"/>
          <w:szCs w:val="24"/>
        </w:rPr>
      </w:pPr>
      <w:r w:rsidRPr="00695C5A">
        <w:rPr>
          <w:rFonts w:ascii="Century Gothic" w:hAnsi="Century Gothic"/>
          <w:b/>
          <w:bCs/>
          <w:sz w:val="24"/>
          <w:szCs w:val="24"/>
        </w:rPr>
        <w:t>In accordance with Executive Order 13166, the U.S. Department of Transportation</w:t>
      </w:r>
      <w:r w:rsidR="00F5159F">
        <w:rPr>
          <w:rFonts w:ascii="Century Gothic" w:hAnsi="Century Gothic"/>
          <w:b/>
          <w:bCs/>
          <w:sz w:val="24"/>
          <w:szCs w:val="24"/>
        </w:rPr>
        <w:t xml:space="preserve"> (DOT)</w:t>
      </w:r>
      <w:r w:rsidRPr="00695C5A">
        <w:rPr>
          <w:rFonts w:ascii="Century Gothic" w:hAnsi="Century Gothic"/>
          <w:b/>
          <w:bCs/>
          <w:sz w:val="24"/>
          <w:szCs w:val="24"/>
        </w:rPr>
        <w:t xml:space="preserve"> issued </w:t>
      </w:r>
      <w:hyperlink r:id="rId8" w:tgtFrame="_blank" w:history="1">
        <w:r w:rsidRPr="00695C5A">
          <w:rPr>
            <w:rStyle w:val="Hyperlink"/>
            <w:rFonts w:ascii="Century Gothic" w:hAnsi="Century Gothic"/>
            <w:b/>
            <w:bCs/>
            <w:color w:val="4A6EE0"/>
            <w:sz w:val="24"/>
            <w:szCs w:val="24"/>
          </w:rPr>
          <w:t>Policy Guidance Concerning Recipient's Responsibilities to Limited English Proficient (LEP) Persons</w:t>
        </w:r>
      </w:hyperlink>
      <w:r w:rsidRPr="00695C5A">
        <w:rPr>
          <w:rFonts w:ascii="Century Gothic" w:hAnsi="Century Gothic"/>
          <w:b/>
          <w:bCs/>
          <w:sz w:val="24"/>
          <w:szCs w:val="24"/>
        </w:rPr>
        <w:t xml:space="preserve">, modeled after </w:t>
      </w:r>
      <w:r w:rsidR="00F5159F">
        <w:rPr>
          <w:rFonts w:ascii="Century Gothic" w:hAnsi="Century Gothic"/>
          <w:b/>
          <w:bCs/>
          <w:sz w:val="24"/>
          <w:szCs w:val="24"/>
        </w:rPr>
        <w:t xml:space="preserve">the </w:t>
      </w:r>
      <w:r w:rsidRPr="00695C5A">
        <w:rPr>
          <w:rFonts w:ascii="Century Gothic" w:hAnsi="Century Gothic"/>
          <w:b/>
          <w:bCs/>
          <w:sz w:val="24"/>
          <w:szCs w:val="24"/>
        </w:rPr>
        <w:t>D</w:t>
      </w:r>
      <w:r w:rsidR="00BB56A2">
        <w:rPr>
          <w:rFonts w:ascii="Century Gothic" w:hAnsi="Century Gothic"/>
          <w:b/>
          <w:bCs/>
          <w:sz w:val="24"/>
          <w:szCs w:val="24"/>
        </w:rPr>
        <w:t xml:space="preserve">epartment of </w:t>
      </w:r>
      <w:r w:rsidRPr="00695C5A">
        <w:rPr>
          <w:rFonts w:ascii="Century Gothic" w:hAnsi="Century Gothic"/>
          <w:b/>
          <w:bCs/>
          <w:sz w:val="24"/>
          <w:szCs w:val="24"/>
        </w:rPr>
        <w:t>J</w:t>
      </w:r>
      <w:r w:rsidR="00BB56A2">
        <w:rPr>
          <w:rFonts w:ascii="Century Gothic" w:hAnsi="Century Gothic"/>
          <w:b/>
          <w:bCs/>
          <w:sz w:val="24"/>
          <w:szCs w:val="24"/>
        </w:rPr>
        <w:t>ustice</w:t>
      </w:r>
      <w:r w:rsidRPr="00695C5A">
        <w:rPr>
          <w:rFonts w:ascii="Century Gothic" w:hAnsi="Century Gothic"/>
          <w:b/>
          <w:bCs/>
          <w:sz w:val="24"/>
          <w:szCs w:val="24"/>
        </w:rPr>
        <w:t>'s guidance. As described in the guidance, DOT recipients must take reasonable steps to ensure meaningful access to their programs and activities by LEP persons. </w:t>
      </w:r>
    </w:p>
    <w:p w14:paraId="463EC535" w14:textId="2D78E332" w:rsidR="000B24EC" w:rsidRPr="000B24EC" w:rsidRDefault="000B24EC" w:rsidP="00695C5A">
      <w:pPr>
        <w:jc w:val="both"/>
        <w:rPr>
          <w:rFonts w:ascii="Century Gothic" w:hAnsi="Century Gothic"/>
          <w:b/>
          <w:bCs/>
          <w:color w:val="0070C0"/>
          <w:sz w:val="24"/>
          <w:szCs w:val="24"/>
        </w:rPr>
      </w:pPr>
      <w:r w:rsidRPr="000B24EC">
        <w:rPr>
          <w:rFonts w:ascii="Century Gothic" w:hAnsi="Century Gothic"/>
          <w:b/>
          <w:bCs/>
          <w:sz w:val="24"/>
          <w:szCs w:val="24"/>
        </w:rPr>
        <w:t>LEP Individuals – Individuals with a primary or home language other than English and who have a limited ability to read, write, speak, and/or understand English. LEP individuals may be competent in English for certain types of communication (e.g., speaking or understanding), but still be LEP for other purposes (e.g., reading or writing).</w:t>
      </w:r>
    </w:p>
    <w:p w14:paraId="09E4DCC0" w14:textId="5058DE0D" w:rsidR="009427AA" w:rsidRPr="00ED0574" w:rsidRDefault="009427AA" w:rsidP="00955512">
      <w:pPr>
        <w:rPr>
          <w:rFonts w:ascii="Century Gothic" w:hAnsi="Century Gothic"/>
          <w:b/>
          <w:bCs/>
          <w:color w:val="000000" w:themeColor="text1"/>
          <w:sz w:val="24"/>
          <w:szCs w:val="24"/>
        </w:rPr>
      </w:pPr>
      <w:r w:rsidRPr="00ED0574">
        <w:rPr>
          <w:rFonts w:ascii="Century Gothic" w:hAnsi="Century Gothic"/>
          <w:b/>
          <w:bCs/>
          <w:color w:val="000000" w:themeColor="text1"/>
          <w:sz w:val="24"/>
          <w:szCs w:val="24"/>
        </w:rPr>
        <w:t>*When determining the need for translations (written), use the safe harbor rule*</w:t>
      </w:r>
    </w:p>
    <w:p w14:paraId="724FFCA5" w14:textId="1FD2C854" w:rsidR="009427AA" w:rsidRPr="009427AA" w:rsidRDefault="009427AA" w:rsidP="00955512">
      <w:pPr>
        <w:rPr>
          <w:rFonts w:ascii="Century Gothic" w:hAnsi="Century Gothic"/>
          <w:b/>
          <w:bCs/>
          <w:sz w:val="24"/>
          <w:szCs w:val="24"/>
        </w:rPr>
      </w:pPr>
      <w:r>
        <w:rPr>
          <w:noProof/>
        </w:rPr>
        <w:drawing>
          <wp:inline distT="0" distB="0" distL="0" distR="0" wp14:anchorId="745BEFBE" wp14:editId="75BD0628">
            <wp:extent cx="6162675" cy="1685925"/>
            <wp:effectExtent l="0" t="0" r="9525" b="9525"/>
            <wp:docPr id="12" name="Picture 11">
              <a:extLst xmlns:a="http://schemas.openxmlformats.org/drawingml/2006/main">
                <a:ext uri="{FF2B5EF4-FFF2-40B4-BE49-F238E27FC236}">
                  <a16:creationId xmlns:a16="http://schemas.microsoft.com/office/drawing/2014/main" id="{815DB337-8546-4C83-B624-B8A1DDA6015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15DB337-8546-4C83-B624-B8A1DDA60158}"/>
                        </a:ext>
                        <a:ext uri="{C183D7F6-B498-43B3-948B-1728B52AA6E4}">
                          <adec:decorative xmlns:adec="http://schemas.microsoft.com/office/drawing/2017/decorative" val="1"/>
                        </a:ext>
                      </a:extLst>
                    </pic:cNvPr>
                    <pic:cNvPicPr>
                      <a:picLocks noChangeAspect="1"/>
                    </pic:cNvPicPr>
                  </pic:nvPicPr>
                  <pic:blipFill>
                    <a:blip r:embed="rId9"/>
                    <a:stretch>
                      <a:fillRect/>
                    </a:stretch>
                  </pic:blipFill>
                  <pic:spPr>
                    <a:xfrm>
                      <a:off x="0" y="0"/>
                      <a:ext cx="6162675" cy="1685925"/>
                    </a:xfrm>
                    <a:prstGeom prst="rect">
                      <a:avLst/>
                    </a:prstGeom>
                  </pic:spPr>
                </pic:pic>
              </a:graphicData>
            </a:graphic>
          </wp:inline>
        </w:drawing>
      </w:r>
    </w:p>
    <w:p w14:paraId="1BC0A932" w14:textId="4BE69DB7" w:rsidR="00955512" w:rsidRDefault="00955512" w:rsidP="00955512">
      <w:pPr>
        <w:rPr>
          <w:rFonts w:ascii="Century Gothic" w:hAnsi="Century Gothic"/>
          <w:b/>
          <w:bCs/>
          <w:sz w:val="24"/>
          <w:szCs w:val="24"/>
        </w:rPr>
      </w:pPr>
      <w:r>
        <w:rPr>
          <w:rFonts w:ascii="Century Gothic" w:hAnsi="Century Gothic"/>
          <w:b/>
          <w:bCs/>
          <w:sz w:val="24"/>
          <w:szCs w:val="24"/>
        </w:rPr>
        <w:t>Q: Can you elaborate on when to apply the four</w:t>
      </w:r>
      <w:r w:rsidR="009427AA">
        <w:rPr>
          <w:rFonts w:ascii="Century Gothic" w:hAnsi="Century Gothic"/>
          <w:b/>
          <w:bCs/>
          <w:sz w:val="24"/>
          <w:szCs w:val="24"/>
        </w:rPr>
        <w:t>-</w:t>
      </w:r>
      <w:r>
        <w:rPr>
          <w:rFonts w:ascii="Century Gothic" w:hAnsi="Century Gothic"/>
          <w:b/>
          <w:bCs/>
          <w:sz w:val="24"/>
          <w:szCs w:val="24"/>
        </w:rPr>
        <w:t>factor analysis? In other words, public events, public meetings, presentations, etc.?</w:t>
      </w:r>
    </w:p>
    <w:p w14:paraId="31C236F0" w14:textId="77777777" w:rsidR="00823747" w:rsidRPr="00823747" w:rsidRDefault="00966618" w:rsidP="00ED0574">
      <w:pPr>
        <w:pStyle w:val="NormalWeb"/>
        <w:spacing w:before="0" w:beforeAutospacing="0" w:after="0" w:afterAutospacing="0"/>
        <w:jc w:val="both"/>
        <w:rPr>
          <w:rFonts w:ascii="Century Gothic" w:hAnsi="Century Gothic"/>
          <w:color w:val="0E101A"/>
        </w:rPr>
      </w:pPr>
      <w:r>
        <w:rPr>
          <w:rFonts w:ascii="Century Gothic" w:hAnsi="Century Gothic"/>
          <w:b/>
          <w:bCs/>
        </w:rPr>
        <w:t xml:space="preserve">A: </w:t>
      </w:r>
      <w:r w:rsidR="00823747" w:rsidRPr="00823747">
        <w:rPr>
          <w:rFonts w:ascii="Century Gothic" w:hAnsi="Century Gothic"/>
          <w:color w:val="0E101A"/>
        </w:rPr>
        <w:t>Each local agency shall perform an annual assessment to determine if modifications are needed to their programs and activities to ensure meaningful access by LEP persons, culminating in developing a language access plan. This assessment is known as the Four-Factor Analysis. </w:t>
      </w:r>
    </w:p>
    <w:p w14:paraId="02C2679D" w14:textId="77777777" w:rsidR="00823747" w:rsidRPr="00823747" w:rsidRDefault="00823747" w:rsidP="00ED0574">
      <w:pPr>
        <w:spacing w:after="0" w:line="240" w:lineRule="auto"/>
        <w:jc w:val="both"/>
        <w:rPr>
          <w:rFonts w:ascii="Century Gothic" w:eastAsia="Times New Roman" w:hAnsi="Century Gothic" w:cs="Times New Roman"/>
          <w:color w:val="0E101A"/>
          <w:sz w:val="24"/>
          <w:szCs w:val="24"/>
        </w:rPr>
      </w:pPr>
    </w:p>
    <w:p w14:paraId="770D9E04" w14:textId="4A61B019" w:rsidR="00823747" w:rsidRDefault="00823747" w:rsidP="00ED0574">
      <w:pPr>
        <w:spacing w:after="0" w:line="240" w:lineRule="auto"/>
        <w:jc w:val="both"/>
        <w:rPr>
          <w:rFonts w:ascii="Century Gothic" w:eastAsia="Times New Roman" w:hAnsi="Century Gothic" w:cs="Times New Roman"/>
          <w:color w:val="0E101A"/>
          <w:sz w:val="24"/>
          <w:szCs w:val="24"/>
        </w:rPr>
      </w:pPr>
      <w:r w:rsidRPr="00823747">
        <w:rPr>
          <w:rFonts w:ascii="Century Gothic" w:eastAsia="Times New Roman" w:hAnsi="Century Gothic" w:cs="Times New Roman"/>
          <w:color w:val="0E101A"/>
          <w:sz w:val="24"/>
          <w:szCs w:val="24"/>
        </w:rPr>
        <w:lastRenderedPageBreak/>
        <w:t>It is expected that agency plans will provide meaningful access consistent with and without unduly burdening the agency's fundamental mission. If there are language barriers, it may prohibit LEP persons from:</w:t>
      </w:r>
    </w:p>
    <w:p w14:paraId="20AD7FB5" w14:textId="77777777" w:rsidR="00ED0574" w:rsidRPr="00823747" w:rsidRDefault="00ED0574" w:rsidP="00ED0574">
      <w:pPr>
        <w:spacing w:after="0" w:line="240" w:lineRule="auto"/>
        <w:jc w:val="both"/>
        <w:rPr>
          <w:rFonts w:ascii="Century Gothic" w:eastAsia="Times New Roman" w:hAnsi="Century Gothic" w:cs="Times New Roman"/>
          <w:color w:val="0E101A"/>
          <w:sz w:val="24"/>
          <w:szCs w:val="24"/>
        </w:rPr>
      </w:pPr>
    </w:p>
    <w:p w14:paraId="6073F132" w14:textId="77777777" w:rsidR="00823747" w:rsidRPr="00823747" w:rsidRDefault="00823747" w:rsidP="00ED0574">
      <w:pPr>
        <w:numPr>
          <w:ilvl w:val="0"/>
          <w:numId w:val="5"/>
        </w:numPr>
        <w:spacing w:after="0" w:line="240" w:lineRule="auto"/>
        <w:jc w:val="both"/>
        <w:rPr>
          <w:rFonts w:ascii="Century Gothic" w:eastAsia="Times New Roman" w:hAnsi="Century Gothic" w:cs="Times New Roman"/>
          <w:color w:val="0E101A"/>
          <w:sz w:val="24"/>
          <w:szCs w:val="24"/>
        </w:rPr>
      </w:pPr>
      <w:r w:rsidRPr="00823747">
        <w:rPr>
          <w:rFonts w:ascii="Century Gothic" w:eastAsia="Times New Roman" w:hAnsi="Century Gothic" w:cs="Times New Roman"/>
          <w:color w:val="0E101A"/>
          <w:sz w:val="24"/>
          <w:szCs w:val="24"/>
        </w:rPr>
        <w:t>Obtaining services and information related to transportation services, programs, and projects.</w:t>
      </w:r>
    </w:p>
    <w:p w14:paraId="5AF8F1BD" w14:textId="77777777" w:rsidR="00823747" w:rsidRPr="00823747" w:rsidRDefault="00823747" w:rsidP="00ED0574">
      <w:pPr>
        <w:numPr>
          <w:ilvl w:val="0"/>
          <w:numId w:val="5"/>
        </w:numPr>
        <w:spacing w:after="0" w:line="240" w:lineRule="auto"/>
        <w:jc w:val="both"/>
        <w:rPr>
          <w:rFonts w:ascii="Century Gothic" w:eastAsia="Times New Roman" w:hAnsi="Century Gothic" w:cs="Times New Roman"/>
          <w:color w:val="0E101A"/>
          <w:sz w:val="24"/>
          <w:szCs w:val="24"/>
        </w:rPr>
      </w:pPr>
      <w:r w:rsidRPr="00823747">
        <w:rPr>
          <w:rFonts w:ascii="Century Gothic" w:eastAsia="Times New Roman" w:hAnsi="Century Gothic" w:cs="Times New Roman"/>
          <w:color w:val="0E101A"/>
          <w:sz w:val="24"/>
          <w:szCs w:val="24"/>
        </w:rPr>
        <w:t>Taking advantage of the transit system could affect their jobs and social opportunities. </w:t>
      </w:r>
    </w:p>
    <w:p w14:paraId="1B5ED30D" w14:textId="6162BF44" w:rsidR="00823747" w:rsidRPr="00823747" w:rsidRDefault="00823747" w:rsidP="00ED0574">
      <w:pPr>
        <w:numPr>
          <w:ilvl w:val="0"/>
          <w:numId w:val="5"/>
        </w:numPr>
        <w:spacing w:after="0" w:line="240" w:lineRule="auto"/>
        <w:jc w:val="both"/>
        <w:rPr>
          <w:rFonts w:ascii="Century Gothic" w:eastAsia="Times New Roman" w:hAnsi="Century Gothic" w:cs="Times New Roman"/>
          <w:color w:val="0E101A"/>
          <w:sz w:val="24"/>
          <w:szCs w:val="24"/>
        </w:rPr>
      </w:pPr>
      <w:r w:rsidRPr="00823747">
        <w:rPr>
          <w:rFonts w:ascii="Century Gothic" w:eastAsia="Times New Roman" w:hAnsi="Century Gothic" w:cs="Times New Roman"/>
          <w:color w:val="0E101A"/>
          <w:sz w:val="24"/>
          <w:szCs w:val="24"/>
        </w:rPr>
        <w:t xml:space="preserve">Understanding the </w:t>
      </w:r>
      <w:r w:rsidR="00ED0574" w:rsidRPr="00823747">
        <w:rPr>
          <w:rFonts w:ascii="Century Gothic" w:eastAsia="Times New Roman" w:hAnsi="Century Gothic" w:cs="Times New Roman"/>
          <w:color w:val="0E101A"/>
          <w:sz w:val="24"/>
          <w:szCs w:val="24"/>
        </w:rPr>
        <w:t>benefits,</w:t>
      </w:r>
      <w:r w:rsidRPr="00823747">
        <w:rPr>
          <w:rFonts w:ascii="Century Gothic" w:eastAsia="Times New Roman" w:hAnsi="Century Gothic" w:cs="Times New Roman"/>
          <w:color w:val="0E101A"/>
          <w:sz w:val="24"/>
          <w:szCs w:val="24"/>
        </w:rPr>
        <w:t xml:space="preserve"> they are entitled to when their home or business property is acquired through eminent domain. </w:t>
      </w:r>
    </w:p>
    <w:p w14:paraId="584C65CD" w14:textId="77777777" w:rsidR="00823747" w:rsidRDefault="00823747" w:rsidP="00823747">
      <w:pPr>
        <w:rPr>
          <w:rFonts w:ascii="Century Gothic" w:hAnsi="Century Gothic"/>
          <w:b/>
          <w:bCs/>
          <w:sz w:val="24"/>
          <w:szCs w:val="24"/>
        </w:rPr>
      </w:pPr>
    </w:p>
    <w:p w14:paraId="79A4DD3A" w14:textId="12D38971" w:rsidR="00955512" w:rsidRDefault="00955512" w:rsidP="00823747">
      <w:pPr>
        <w:rPr>
          <w:rFonts w:ascii="Century Gothic" w:hAnsi="Century Gothic"/>
          <w:b/>
          <w:bCs/>
          <w:sz w:val="24"/>
          <w:szCs w:val="24"/>
        </w:rPr>
      </w:pPr>
      <w:r>
        <w:rPr>
          <w:rFonts w:ascii="Century Gothic" w:hAnsi="Century Gothic"/>
          <w:b/>
          <w:bCs/>
          <w:sz w:val="24"/>
          <w:szCs w:val="24"/>
        </w:rPr>
        <w:t>Q: Do public surveys conducted by the local agency count as valid data?</w:t>
      </w:r>
    </w:p>
    <w:p w14:paraId="4CA4B12A" w14:textId="042A6954" w:rsidR="00955512" w:rsidRPr="003F16EB" w:rsidRDefault="00955512" w:rsidP="00ED0574">
      <w:pPr>
        <w:jc w:val="both"/>
        <w:rPr>
          <w:rFonts w:ascii="Century Gothic" w:hAnsi="Century Gothic"/>
          <w:color w:val="FF0000"/>
          <w:sz w:val="24"/>
          <w:szCs w:val="24"/>
        </w:rPr>
      </w:pPr>
      <w:r>
        <w:rPr>
          <w:rFonts w:ascii="Century Gothic" w:hAnsi="Century Gothic"/>
          <w:b/>
          <w:bCs/>
          <w:sz w:val="24"/>
          <w:szCs w:val="24"/>
        </w:rPr>
        <w:t xml:space="preserve">A: </w:t>
      </w:r>
      <w:r w:rsidR="00ED0574" w:rsidRPr="00ED0574">
        <w:rPr>
          <w:rFonts w:ascii="Century Gothic" w:hAnsi="Century Gothic"/>
          <w:sz w:val="24"/>
          <w:szCs w:val="24"/>
        </w:rPr>
        <w:t>Yes. Any data that your local agency collects is data that you can use as a basis for your Four-Factor Analysis.</w:t>
      </w:r>
    </w:p>
    <w:p w14:paraId="137C956A" w14:textId="532C63B8" w:rsidR="00955512" w:rsidRDefault="00955512" w:rsidP="00ED0574">
      <w:pPr>
        <w:jc w:val="both"/>
        <w:rPr>
          <w:rFonts w:ascii="Century Gothic" w:hAnsi="Century Gothic"/>
          <w:b/>
          <w:bCs/>
          <w:sz w:val="24"/>
          <w:szCs w:val="24"/>
        </w:rPr>
      </w:pPr>
      <w:r>
        <w:rPr>
          <w:rFonts w:ascii="Century Gothic" w:hAnsi="Century Gothic"/>
          <w:b/>
          <w:bCs/>
          <w:sz w:val="24"/>
          <w:szCs w:val="24"/>
        </w:rPr>
        <w:t>Q: My county has numerous projects annually. Do we perform the four-factor analysis for each individual project for the zip code(s) of each project location? Or do we perform the analysis on a countywide basis annually?</w:t>
      </w:r>
    </w:p>
    <w:p w14:paraId="50031A4A" w14:textId="77777777" w:rsidR="00ED0574" w:rsidRPr="00ED0574" w:rsidRDefault="00955512" w:rsidP="00ED0574">
      <w:pPr>
        <w:jc w:val="both"/>
        <w:rPr>
          <w:rFonts w:ascii="Century Gothic" w:hAnsi="Century Gothic"/>
          <w:sz w:val="24"/>
          <w:szCs w:val="24"/>
        </w:rPr>
      </w:pPr>
      <w:r>
        <w:rPr>
          <w:rFonts w:ascii="Century Gothic" w:hAnsi="Century Gothic"/>
          <w:b/>
          <w:bCs/>
          <w:sz w:val="24"/>
          <w:szCs w:val="24"/>
        </w:rPr>
        <w:t xml:space="preserve">A: </w:t>
      </w:r>
      <w:r w:rsidR="00ED0574" w:rsidRPr="00ED0574">
        <w:rPr>
          <w:rFonts w:ascii="Century Gothic" w:hAnsi="Century Gothic"/>
          <w:sz w:val="24"/>
          <w:szCs w:val="24"/>
        </w:rPr>
        <w:t xml:space="preserve">Diverse cities such as Sacramento or Hollywood will have various Title VI protected individuals within each service area. Therefore, it is essential to determine how the four-factor analysis will impact each project location. A Four-Factor Analysis conducted for each project will provide more localized and accurate demographics of those affected or involved in the project and the needed outreach. </w:t>
      </w:r>
    </w:p>
    <w:p w14:paraId="68FA63AE" w14:textId="057BD7DF" w:rsidR="00955512" w:rsidRDefault="00ED0574" w:rsidP="00ED0574">
      <w:pPr>
        <w:jc w:val="both"/>
        <w:rPr>
          <w:rFonts w:ascii="Century Gothic" w:hAnsi="Century Gothic"/>
          <w:sz w:val="24"/>
          <w:szCs w:val="24"/>
        </w:rPr>
      </w:pPr>
      <w:r w:rsidRPr="00ED0574">
        <w:rPr>
          <w:rFonts w:ascii="Century Gothic" w:hAnsi="Century Gothic"/>
          <w:sz w:val="24"/>
          <w:szCs w:val="24"/>
        </w:rPr>
        <w:t xml:space="preserve">For example, suppose there will be a planned street closure. In that case, the proximity of LEP individuals may have trouble understanding why that closure has occurred and any detours they may need to take to reach their destination. </w:t>
      </w:r>
    </w:p>
    <w:p w14:paraId="7B153A4F" w14:textId="47CFB900" w:rsidR="00630E7D" w:rsidRPr="003F16EB" w:rsidRDefault="00630E7D" w:rsidP="00ED0574">
      <w:pPr>
        <w:jc w:val="both"/>
        <w:rPr>
          <w:rFonts w:ascii="Century Gothic" w:hAnsi="Century Gothic"/>
          <w:b/>
          <w:bCs/>
          <w:color w:val="FF0000"/>
          <w:sz w:val="24"/>
          <w:szCs w:val="24"/>
        </w:rPr>
      </w:pPr>
      <w:r>
        <w:rPr>
          <w:rFonts w:ascii="Century Gothic" w:hAnsi="Century Gothic"/>
          <w:sz w:val="24"/>
          <w:szCs w:val="24"/>
        </w:rPr>
        <w:t xml:space="preserve">The development of a language access plan will help agencies identify if a four-factor analysis must be performed </w:t>
      </w:r>
      <w:r w:rsidR="0077347B">
        <w:rPr>
          <w:rFonts w:ascii="Century Gothic" w:hAnsi="Century Gothic"/>
          <w:sz w:val="24"/>
          <w:szCs w:val="24"/>
        </w:rPr>
        <w:t>as one inclusive of all</w:t>
      </w:r>
      <w:r>
        <w:rPr>
          <w:rFonts w:ascii="Century Gothic" w:hAnsi="Century Gothic"/>
          <w:sz w:val="24"/>
          <w:szCs w:val="24"/>
        </w:rPr>
        <w:t xml:space="preserve"> agency boundaries or on a project-by-project basis. </w:t>
      </w:r>
    </w:p>
    <w:p w14:paraId="1E50C205" w14:textId="34E751EC" w:rsidR="00955512" w:rsidRDefault="00955512" w:rsidP="00955512">
      <w:pPr>
        <w:rPr>
          <w:rFonts w:ascii="Century Gothic" w:hAnsi="Century Gothic"/>
          <w:b/>
          <w:bCs/>
          <w:sz w:val="24"/>
          <w:szCs w:val="24"/>
        </w:rPr>
      </w:pPr>
      <w:r>
        <w:rPr>
          <w:rFonts w:ascii="Century Gothic" w:hAnsi="Century Gothic"/>
          <w:b/>
          <w:bCs/>
          <w:sz w:val="24"/>
          <w:szCs w:val="24"/>
        </w:rPr>
        <w:t>Q: What is considered to be a “vital” document?</w:t>
      </w:r>
    </w:p>
    <w:p w14:paraId="293E9D75" w14:textId="5B8D06FC" w:rsidR="00955512" w:rsidRPr="00475D1B" w:rsidRDefault="00955512" w:rsidP="00ED0574">
      <w:pPr>
        <w:jc w:val="both"/>
        <w:rPr>
          <w:rFonts w:ascii="Century Gothic" w:hAnsi="Century Gothic"/>
          <w:sz w:val="24"/>
          <w:szCs w:val="24"/>
        </w:rPr>
      </w:pPr>
      <w:r>
        <w:rPr>
          <w:rFonts w:ascii="Century Gothic" w:hAnsi="Century Gothic"/>
          <w:b/>
          <w:bCs/>
          <w:sz w:val="24"/>
          <w:szCs w:val="24"/>
        </w:rPr>
        <w:t>A:</w:t>
      </w:r>
      <w:r w:rsidR="00475D1B">
        <w:rPr>
          <w:rFonts w:ascii="Century Gothic" w:hAnsi="Century Gothic"/>
          <w:b/>
          <w:bCs/>
          <w:sz w:val="24"/>
          <w:szCs w:val="24"/>
        </w:rPr>
        <w:t xml:space="preserve"> </w:t>
      </w:r>
      <w:r w:rsidR="00ED0574" w:rsidRPr="00ED0574">
        <w:rPr>
          <w:rFonts w:ascii="Century Gothic" w:hAnsi="Century Gothic"/>
          <w:sz w:val="24"/>
          <w:szCs w:val="24"/>
        </w:rPr>
        <w:t>Vital documents are considered critical to the public or people’s lives, such as if they contain information critical for obtaining federal services</w:t>
      </w:r>
      <w:r w:rsidR="00630E7D">
        <w:rPr>
          <w:rFonts w:ascii="Century Gothic" w:hAnsi="Century Gothic"/>
          <w:sz w:val="24"/>
          <w:szCs w:val="24"/>
        </w:rPr>
        <w:t>,</w:t>
      </w:r>
      <w:r w:rsidR="00ED0574" w:rsidRPr="00ED0574">
        <w:rPr>
          <w:rFonts w:ascii="Century Gothic" w:hAnsi="Century Gothic"/>
          <w:sz w:val="24"/>
          <w:szCs w:val="24"/>
        </w:rPr>
        <w:t xml:space="preserve"> benefits</w:t>
      </w:r>
      <w:r w:rsidR="00630E7D">
        <w:rPr>
          <w:rFonts w:ascii="Century Gothic" w:hAnsi="Century Gothic"/>
          <w:sz w:val="24"/>
          <w:szCs w:val="24"/>
        </w:rPr>
        <w:t>,</w:t>
      </w:r>
      <w:r w:rsidR="00ED0574" w:rsidRPr="00ED0574">
        <w:rPr>
          <w:rFonts w:ascii="Century Gothic" w:hAnsi="Century Gothic"/>
          <w:sz w:val="24"/>
          <w:szCs w:val="24"/>
        </w:rPr>
        <w:t xml:space="preserve"> </w:t>
      </w:r>
      <w:r w:rsidR="00630E7D">
        <w:rPr>
          <w:rFonts w:ascii="Century Gothic" w:hAnsi="Century Gothic"/>
          <w:sz w:val="24"/>
          <w:szCs w:val="24"/>
        </w:rPr>
        <w:t>and/</w:t>
      </w:r>
      <w:r w:rsidR="00ED0574" w:rsidRPr="00ED0574">
        <w:rPr>
          <w:rFonts w:ascii="Century Gothic" w:hAnsi="Century Gothic"/>
          <w:sz w:val="24"/>
          <w:szCs w:val="24"/>
        </w:rPr>
        <w:t xml:space="preserve">or are required by law. These include, for example, applications; consent and complaint forms; notices of rights and disciplinary action; notices advising LEP persons of the availability of free language assistance; letters or notices that require a response from a beneficiary or client. </w:t>
      </w:r>
    </w:p>
    <w:p w14:paraId="2EDFE3A8" w14:textId="45B3CA57" w:rsidR="00955512" w:rsidRPr="00C25183" w:rsidRDefault="00955512" w:rsidP="00955512">
      <w:pPr>
        <w:rPr>
          <w:rFonts w:ascii="Century Gothic" w:hAnsi="Century Gothic"/>
          <w:b/>
          <w:bCs/>
          <w:sz w:val="24"/>
          <w:szCs w:val="24"/>
        </w:rPr>
      </w:pPr>
      <w:r w:rsidRPr="00C25183">
        <w:rPr>
          <w:rFonts w:ascii="Century Gothic" w:hAnsi="Century Gothic"/>
          <w:b/>
          <w:bCs/>
          <w:sz w:val="24"/>
          <w:szCs w:val="24"/>
        </w:rPr>
        <w:t>Q: What are examples of steps that an LEP individual would have to take to get translation services</w:t>
      </w:r>
      <w:r w:rsidR="00966618" w:rsidRPr="00C25183">
        <w:rPr>
          <w:rFonts w:ascii="Century Gothic" w:hAnsi="Century Gothic"/>
          <w:b/>
          <w:bCs/>
          <w:sz w:val="24"/>
          <w:szCs w:val="24"/>
        </w:rPr>
        <w:t>/assistance?</w:t>
      </w:r>
    </w:p>
    <w:p w14:paraId="1D66436D" w14:textId="4BCD7EE0" w:rsidR="00966618" w:rsidRPr="00622D82" w:rsidRDefault="00966618" w:rsidP="00955512">
      <w:pPr>
        <w:rPr>
          <w:rFonts w:ascii="Century Gothic" w:hAnsi="Century Gothic"/>
          <w:b/>
          <w:bCs/>
          <w:sz w:val="24"/>
          <w:szCs w:val="24"/>
        </w:rPr>
      </w:pPr>
      <w:r w:rsidRPr="00C25183">
        <w:rPr>
          <w:rFonts w:ascii="Century Gothic" w:hAnsi="Century Gothic"/>
          <w:b/>
          <w:bCs/>
          <w:sz w:val="24"/>
          <w:szCs w:val="24"/>
        </w:rPr>
        <w:lastRenderedPageBreak/>
        <w:t xml:space="preserve">A: </w:t>
      </w:r>
      <w:r w:rsidR="008C2132" w:rsidRPr="00622D82">
        <w:rPr>
          <w:rFonts w:ascii="Century Gothic" w:hAnsi="Century Gothic"/>
          <w:sz w:val="24"/>
          <w:szCs w:val="24"/>
        </w:rPr>
        <w:t>To request translation services/assistance, an LEP individual can call the local agency and request the services.  Local agencies should have steps in place to address interpretation (oral) or translation (written) requests.</w:t>
      </w:r>
    </w:p>
    <w:p w14:paraId="5E601563" w14:textId="28383FC5" w:rsidR="00966618" w:rsidRPr="00C25183" w:rsidRDefault="00966618" w:rsidP="00955512">
      <w:pPr>
        <w:rPr>
          <w:rFonts w:ascii="Century Gothic" w:hAnsi="Century Gothic"/>
          <w:b/>
          <w:bCs/>
          <w:sz w:val="24"/>
          <w:szCs w:val="24"/>
        </w:rPr>
      </w:pPr>
      <w:r w:rsidRPr="00C25183">
        <w:rPr>
          <w:rFonts w:ascii="Century Gothic" w:hAnsi="Century Gothic"/>
          <w:b/>
          <w:bCs/>
          <w:sz w:val="24"/>
          <w:szCs w:val="24"/>
        </w:rPr>
        <w:t>Q: Is interpretation at a public meeting required only when requested? Or would you use a specific threshold?</w:t>
      </w:r>
    </w:p>
    <w:p w14:paraId="10F33C90" w14:textId="37C29B99" w:rsidR="00966618" w:rsidRPr="00622D82" w:rsidRDefault="00966618" w:rsidP="00955512">
      <w:pPr>
        <w:rPr>
          <w:rFonts w:ascii="Century Gothic" w:hAnsi="Century Gothic"/>
          <w:sz w:val="24"/>
          <w:szCs w:val="24"/>
        </w:rPr>
      </w:pPr>
      <w:r w:rsidRPr="00C25183">
        <w:rPr>
          <w:rFonts w:ascii="Century Gothic" w:hAnsi="Century Gothic"/>
          <w:b/>
          <w:bCs/>
          <w:sz w:val="24"/>
          <w:szCs w:val="24"/>
        </w:rPr>
        <w:t>A:</w:t>
      </w:r>
      <w:r>
        <w:rPr>
          <w:rFonts w:ascii="Century Gothic" w:hAnsi="Century Gothic"/>
          <w:b/>
          <w:bCs/>
          <w:sz w:val="24"/>
          <w:szCs w:val="24"/>
        </w:rPr>
        <w:t xml:space="preserve"> </w:t>
      </w:r>
      <w:r w:rsidR="008C2132" w:rsidRPr="00622D82">
        <w:rPr>
          <w:rFonts w:ascii="Century Gothic" w:hAnsi="Century Gothic"/>
          <w:sz w:val="24"/>
          <w:szCs w:val="24"/>
        </w:rPr>
        <w:t>No.  Interpretation</w:t>
      </w:r>
      <w:r w:rsidR="00622D82">
        <w:rPr>
          <w:rFonts w:ascii="Century Gothic" w:hAnsi="Century Gothic"/>
          <w:sz w:val="24"/>
          <w:szCs w:val="24"/>
        </w:rPr>
        <w:t>s</w:t>
      </w:r>
      <w:r w:rsidR="008C2132" w:rsidRPr="00622D82">
        <w:rPr>
          <w:rFonts w:ascii="Century Gothic" w:hAnsi="Century Gothic"/>
          <w:sz w:val="24"/>
          <w:szCs w:val="24"/>
        </w:rPr>
        <w:t xml:space="preserve"> made available at a public meeting should not be determined only when services are requested.  The local agency should conduct a four-factor analysis</w:t>
      </w:r>
      <w:r w:rsidR="004E4077" w:rsidRPr="00622D82">
        <w:rPr>
          <w:rFonts w:ascii="Century Gothic" w:hAnsi="Century Gothic"/>
          <w:sz w:val="24"/>
          <w:szCs w:val="24"/>
        </w:rPr>
        <w:t xml:space="preserve"> to determine whether they should provide reasonable, timely, oral language assistance free of charge to any beneficiary that is LEP (depending on the circumstances, reasonable oral language assistance might be an in-person interpreter or telephone interpreter line).</w:t>
      </w:r>
    </w:p>
    <w:p w14:paraId="02CC0EE4" w14:textId="1B0BE594" w:rsidR="004E4077" w:rsidRPr="004E4077" w:rsidRDefault="004E4077" w:rsidP="00955512">
      <w:pPr>
        <w:rPr>
          <w:rFonts w:ascii="Century Gothic" w:hAnsi="Century Gothic"/>
          <w:sz w:val="24"/>
          <w:szCs w:val="24"/>
        </w:rPr>
      </w:pPr>
      <w:r w:rsidRPr="00622D82">
        <w:rPr>
          <w:rFonts w:ascii="Century Gothic" w:hAnsi="Century Gothic"/>
          <w:sz w:val="24"/>
          <w:szCs w:val="24"/>
        </w:rPr>
        <w:t>Although there are no “safe harbors” or “thresholds” for oral interpretation services, local agencies should use the four-factor analysis to make the determination.</w:t>
      </w:r>
    </w:p>
    <w:p w14:paraId="0F49BCDB" w14:textId="47642E0E" w:rsidR="00966618" w:rsidRDefault="00966618" w:rsidP="00955512">
      <w:pPr>
        <w:rPr>
          <w:rFonts w:ascii="Century Gothic" w:hAnsi="Century Gothic"/>
          <w:b/>
          <w:bCs/>
          <w:sz w:val="24"/>
          <w:szCs w:val="24"/>
        </w:rPr>
      </w:pPr>
      <w:r>
        <w:rPr>
          <w:rFonts w:ascii="Century Gothic" w:hAnsi="Century Gothic"/>
          <w:b/>
          <w:bCs/>
          <w:sz w:val="24"/>
          <w:szCs w:val="24"/>
        </w:rPr>
        <w:t>Q: Would you use county-wide data if you are considering what translation needs are for a transit service area that is county-wide?</w:t>
      </w:r>
    </w:p>
    <w:p w14:paraId="04C42887" w14:textId="47DF1E60" w:rsidR="00966618" w:rsidRPr="00B33955" w:rsidRDefault="00966618" w:rsidP="007F7B0A">
      <w:pPr>
        <w:jc w:val="both"/>
        <w:rPr>
          <w:rFonts w:ascii="Century Gothic" w:hAnsi="Century Gothic"/>
          <w:color w:val="FF0000"/>
          <w:sz w:val="24"/>
          <w:szCs w:val="24"/>
        </w:rPr>
      </w:pPr>
      <w:r>
        <w:rPr>
          <w:rFonts w:ascii="Century Gothic" w:hAnsi="Century Gothic"/>
          <w:b/>
          <w:bCs/>
          <w:sz w:val="24"/>
          <w:szCs w:val="24"/>
        </w:rPr>
        <w:t xml:space="preserve">A: </w:t>
      </w:r>
      <w:r w:rsidR="007F7B0A" w:rsidRPr="007F7B0A">
        <w:rPr>
          <w:rFonts w:ascii="Century Gothic" w:hAnsi="Century Gothic"/>
          <w:sz w:val="24"/>
          <w:szCs w:val="24"/>
        </w:rPr>
        <w:t xml:space="preserve">If it is a county-wide service, such as transit, then </w:t>
      </w:r>
      <w:r w:rsidR="002803BF">
        <w:rPr>
          <w:rFonts w:ascii="Century Gothic" w:hAnsi="Century Gothic"/>
          <w:sz w:val="24"/>
          <w:szCs w:val="24"/>
        </w:rPr>
        <w:t>the local agency</w:t>
      </w:r>
      <w:r w:rsidR="007F7B0A" w:rsidRPr="007F7B0A">
        <w:rPr>
          <w:rFonts w:ascii="Century Gothic" w:hAnsi="Century Gothic"/>
          <w:sz w:val="24"/>
          <w:szCs w:val="24"/>
        </w:rPr>
        <w:t xml:space="preserve"> should be using county-wide data to match the services </w:t>
      </w:r>
      <w:r w:rsidR="002803BF">
        <w:rPr>
          <w:rFonts w:ascii="Century Gothic" w:hAnsi="Century Gothic"/>
          <w:sz w:val="24"/>
          <w:szCs w:val="24"/>
        </w:rPr>
        <w:t>the agency</w:t>
      </w:r>
      <w:r w:rsidR="007F7B0A" w:rsidRPr="007F7B0A">
        <w:rPr>
          <w:rFonts w:ascii="Century Gothic" w:hAnsi="Century Gothic"/>
          <w:sz w:val="24"/>
          <w:szCs w:val="24"/>
        </w:rPr>
        <w:t xml:space="preserve"> </w:t>
      </w:r>
      <w:r w:rsidR="002803BF">
        <w:rPr>
          <w:rFonts w:ascii="Century Gothic" w:hAnsi="Century Gothic"/>
          <w:sz w:val="24"/>
          <w:szCs w:val="24"/>
        </w:rPr>
        <w:t>is</w:t>
      </w:r>
      <w:r w:rsidR="007F7B0A" w:rsidRPr="007F7B0A">
        <w:rPr>
          <w:rFonts w:ascii="Century Gothic" w:hAnsi="Century Gothic"/>
          <w:sz w:val="24"/>
          <w:szCs w:val="24"/>
        </w:rPr>
        <w:t xml:space="preserve"> providing.</w:t>
      </w:r>
      <w:r w:rsidR="002803BF">
        <w:rPr>
          <w:rFonts w:ascii="Century Gothic" w:hAnsi="Century Gothic"/>
          <w:sz w:val="24"/>
          <w:szCs w:val="24"/>
        </w:rPr>
        <w:t xml:space="preserve">  As a precaution, the local agency should also look at the language needs by zip codes to see if the</w:t>
      </w:r>
      <w:r w:rsidR="00676B89">
        <w:rPr>
          <w:rFonts w:ascii="Century Gothic" w:hAnsi="Century Gothic"/>
          <w:sz w:val="24"/>
          <w:szCs w:val="24"/>
        </w:rPr>
        <w:t>y match the county-wide data</w:t>
      </w:r>
      <w:r w:rsidR="002803BF">
        <w:rPr>
          <w:rFonts w:ascii="Century Gothic" w:hAnsi="Century Gothic"/>
          <w:sz w:val="24"/>
          <w:szCs w:val="24"/>
        </w:rPr>
        <w:t xml:space="preserve"> </w:t>
      </w:r>
      <w:r w:rsidR="00676B89">
        <w:rPr>
          <w:rFonts w:ascii="Century Gothic" w:hAnsi="Century Gothic"/>
          <w:sz w:val="24"/>
          <w:szCs w:val="24"/>
        </w:rPr>
        <w:t>as language needs at the zip code level may be different.</w:t>
      </w:r>
    </w:p>
    <w:p w14:paraId="593E785A" w14:textId="01EB515A" w:rsidR="00966618" w:rsidRPr="00C25183" w:rsidRDefault="00966618" w:rsidP="00955512">
      <w:pPr>
        <w:rPr>
          <w:rFonts w:ascii="Century Gothic" w:hAnsi="Century Gothic"/>
          <w:b/>
          <w:bCs/>
          <w:sz w:val="24"/>
          <w:szCs w:val="24"/>
        </w:rPr>
      </w:pPr>
      <w:r w:rsidRPr="00C25183">
        <w:rPr>
          <w:rFonts w:ascii="Century Gothic" w:hAnsi="Century Gothic"/>
          <w:b/>
          <w:bCs/>
          <w:sz w:val="24"/>
          <w:szCs w:val="24"/>
        </w:rPr>
        <w:t>Q: Are there state-wide contracts for tele-interpreters for smaller agencies? Is that something Caltrans could consider to provide?</w:t>
      </w:r>
    </w:p>
    <w:p w14:paraId="32AEA675" w14:textId="77777777" w:rsidR="004C59DF" w:rsidRDefault="00966618" w:rsidP="00955512">
      <w:pPr>
        <w:rPr>
          <w:rFonts w:ascii="Century Gothic" w:hAnsi="Century Gothic"/>
          <w:sz w:val="24"/>
          <w:szCs w:val="24"/>
        </w:rPr>
      </w:pPr>
      <w:r w:rsidRPr="00C25183">
        <w:rPr>
          <w:rFonts w:ascii="Century Gothic" w:hAnsi="Century Gothic"/>
          <w:b/>
          <w:bCs/>
          <w:sz w:val="24"/>
          <w:szCs w:val="24"/>
        </w:rPr>
        <w:t>A</w:t>
      </w:r>
      <w:r>
        <w:rPr>
          <w:rFonts w:ascii="Century Gothic" w:hAnsi="Century Gothic"/>
          <w:b/>
          <w:bCs/>
          <w:sz w:val="24"/>
          <w:szCs w:val="24"/>
        </w:rPr>
        <w:t xml:space="preserve">: </w:t>
      </w:r>
      <w:r w:rsidR="00EF00D6" w:rsidRPr="00EF00D6">
        <w:rPr>
          <w:rFonts w:ascii="Century Gothic" w:hAnsi="Century Gothic"/>
          <w:sz w:val="24"/>
          <w:szCs w:val="24"/>
        </w:rPr>
        <w:t>No</w:t>
      </w:r>
      <w:r w:rsidR="008374A8">
        <w:rPr>
          <w:rFonts w:ascii="Century Gothic" w:hAnsi="Century Gothic"/>
          <w:sz w:val="24"/>
          <w:szCs w:val="24"/>
        </w:rPr>
        <w:t>, state-wide contracts for tele-interpreters are not available for smaller agencies.  Caltrans recommends hiring bilingual staff or reaching out to community-based organizations for resources</w:t>
      </w:r>
      <w:r w:rsidR="004C59DF">
        <w:rPr>
          <w:rFonts w:ascii="Century Gothic" w:hAnsi="Century Gothic"/>
          <w:sz w:val="24"/>
          <w:szCs w:val="24"/>
        </w:rPr>
        <w:t xml:space="preserve"> if the agency is unable to hire a contractor</w:t>
      </w:r>
      <w:r w:rsidR="008374A8">
        <w:rPr>
          <w:rFonts w:ascii="Century Gothic" w:hAnsi="Century Gothic"/>
          <w:sz w:val="24"/>
          <w:szCs w:val="24"/>
        </w:rPr>
        <w:t xml:space="preserve">. </w:t>
      </w:r>
    </w:p>
    <w:p w14:paraId="3B9C8A5D" w14:textId="5A776717" w:rsidR="00966618" w:rsidRDefault="008374A8" w:rsidP="00955512">
      <w:pPr>
        <w:rPr>
          <w:rFonts w:ascii="Century Gothic" w:hAnsi="Century Gothic"/>
          <w:b/>
          <w:bCs/>
          <w:sz w:val="24"/>
          <w:szCs w:val="24"/>
        </w:rPr>
      </w:pPr>
      <w:r>
        <w:rPr>
          <w:rFonts w:ascii="Century Gothic" w:hAnsi="Century Gothic"/>
          <w:sz w:val="24"/>
          <w:szCs w:val="24"/>
        </w:rPr>
        <w:t>Caltrans does not plan to have a state-wide contract for tele-interpreter services for smaller agencies</w:t>
      </w:r>
      <w:r w:rsidR="004C59DF">
        <w:rPr>
          <w:rFonts w:ascii="Century Gothic" w:hAnsi="Century Gothic"/>
          <w:sz w:val="24"/>
          <w:szCs w:val="24"/>
        </w:rPr>
        <w:t xml:space="preserve"> at this time</w:t>
      </w:r>
      <w:r>
        <w:rPr>
          <w:rFonts w:ascii="Century Gothic" w:hAnsi="Century Gothic"/>
          <w:sz w:val="24"/>
          <w:szCs w:val="24"/>
        </w:rPr>
        <w:t xml:space="preserve">.  </w:t>
      </w:r>
      <w:r w:rsidR="00C14101">
        <w:rPr>
          <w:rFonts w:ascii="Century Gothic" w:hAnsi="Century Gothic"/>
          <w:sz w:val="24"/>
          <w:szCs w:val="24"/>
        </w:rPr>
        <w:t>As a reminder, i</w:t>
      </w:r>
      <w:r>
        <w:rPr>
          <w:rFonts w:ascii="Century Gothic" w:hAnsi="Century Gothic"/>
          <w:sz w:val="24"/>
          <w:szCs w:val="24"/>
        </w:rPr>
        <w:t xml:space="preserve">t is the responsibility of each local agency to consider all of the </w:t>
      </w:r>
      <w:r w:rsidR="00C14101">
        <w:rPr>
          <w:rFonts w:ascii="Century Gothic" w:hAnsi="Century Gothic"/>
          <w:sz w:val="24"/>
          <w:szCs w:val="24"/>
        </w:rPr>
        <w:t>four factors</w:t>
      </w:r>
      <w:r>
        <w:rPr>
          <w:rFonts w:ascii="Century Gothic" w:hAnsi="Century Gothic"/>
          <w:sz w:val="24"/>
          <w:szCs w:val="24"/>
        </w:rPr>
        <w:t xml:space="preserve"> </w:t>
      </w:r>
      <w:r w:rsidR="00C14101">
        <w:rPr>
          <w:rFonts w:ascii="Century Gothic" w:hAnsi="Century Gothic"/>
          <w:sz w:val="24"/>
          <w:szCs w:val="24"/>
        </w:rPr>
        <w:t xml:space="preserve">in the four-factor </w:t>
      </w:r>
      <w:r>
        <w:rPr>
          <w:rFonts w:ascii="Century Gothic" w:hAnsi="Century Gothic"/>
          <w:sz w:val="24"/>
          <w:szCs w:val="24"/>
        </w:rPr>
        <w:t>analysis</w:t>
      </w:r>
      <w:r w:rsidR="00C14101">
        <w:rPr>
          <w:rFonts w:ascii="Century Gothic" w:hAnsi="Century Gothic"/>
          <w:sz w:val="24"/>
          <w:szCs w:val="24"/>
        </w:rPr>
        <w:t xml:space="preserve"> to determine the best course of action for providing interpreting or translating services.</w:t>
      </w:r>
    </w:p>
    <w:p w14:paraId="7734C55C" w14:textId="6D90F503" w:rsidR="00966618" w:rsidRPr="00C25183" w:rsidRDefault="00966618" w:rsidP="00955512">
      <w:pPr>
        <w:rPr>
          <w:rFonts w:ascii="Century Gothic" w:hAnsi="Century Gothic"/>
          <w:b/>
          <w:bCs/>
          <w:sz w:val="24"/>
          <w:szCs w:val="24"/>
        </w:rPr>
      </w:pPr>
      <w:r w:rsidRPr="00C25183">
        <w:rPr>
          <w:rFonts w:ascii="Century Gothic" w:hAnsi="Century Gothic"/>
          <w:b/>
          <w:bCs/>
          <w:sz w:val="24"/>
          <w:szCs w:val="24"/>
        </w:rPr>
        <w:t>Q: What if there is no census data available for an unincorporated area of the county? I believe data isn’t collected if there are under 5,000 residents, but is there any way to find that data elsewhere?</w:t>
      </w:r>
    </w:p>
    <w:p w14:paraId="6D146EAC" w14:textId="4DDCF105" w:rsidR="00966618" w:rsidRPr="007A7F8C" w:rsidRDefault="00966618" w:rsidP="00955512">
      <w:pPr>
        <w:rPr>
          <w:rFonts w:ascii="Century Gothic" w:hAnsi="Century Gothic"/>
          <w:sz w:val="24"/>
          <w:szCs w:val="24"/>
        </w:rPr>
      </w:pPr>
      <w:r w:rsidRPr="00C25183">
        <w:rPr>
          <w:rFonts w:ascii="Century Gothic" w:hAnsi="Century Gothic"/>
          <w:b/>
          <w:bCs/>
          <w:sz w:val="24"/>
          <w:szCs w:val="24"/>
        </w:rPr>
        <w:lastRenderedPageBreak/>
        <w:t>A:</w:t>
      </w:r>
      <w:r>
        <w:rPr>
          <w:rFonts w:ascii="Century Gothic" w:hAnsi="Century Gothic"/>
          <w:b/>
          <w:bCs/>
          <w:sz w:val="24"/>
          <w:szCs w:val="24"/>
        </w:rPr>
        <w:t xml:space="preserve"> </w:t>
      </w:r>
      <w:r w:rsidR="00FF0D9F" w:rsidRPr="007A7F8C">
        <w:rPr>
          <w:rFonts w:ascii="Century Gothic" w:hAnsi="Century Gothic"/>
          <w:sz w:val="24"/>
          <w:szCs w:val="24"/>
        </w:rPr>
        <w:t>Please refer Census</w:t>
      </w:r>
      <w:r w:rsidR="007A7F8C">
        <w:rPr>
          <w:rFonts w:ascii="Century Gothic" w:hAnsi="Century Gothic"/>
          <w:sz w:val="24"/>
          <w:szCs w:val="24"/>
        </w:rPr>
        <w:t xml:space="preserve">-related </w:t>
      </w:r>
      <w:r w:rsidR="00FF0D9F" w:rsidRPr="007A7F8C">
        <w:rPr>
          <w:rFonts w:ascii="Century Gothic" w:hAnsi="Century Gothic"/>
          <w:sz w:val="24"/>
          <w:szCs w:val="24"/>
        </w:rPr>
        <w:t>questions to</w:t>
      </w:r>
      <w:r w:rsidR="00FF0D9F">
        <w:rPr>
          <w:rFonts w:ascii="Century Gothic" w:hAnsi="Century Gothic"/>
          <w:sz w:val="24"/>
          <w:szCs w:val="24"/>
        </w:rPr>
        <w:t xml:space="preserve"> the email address</w:t>
      </w:r>
      <w:r w:rsidR="00FF0D9F" w:rsidRPr="007A7F8C">
        <w:rPr>
          <w:rFonts w:ascii="Century Gothic" w:hAnsi="Century Gothic"/>
          <w:sz w:val="24"/>
          <w:szCs w:val="24"/>
        </w:rPr>
        <w:t xml:space="preserve"> </w:t>
      </w:r>
      <w:hyperlink r:id="rId10" w:history="1">
        <w:r w:rsidR="00FF0D9F" w:rsidRPr="007A7F8C">
          <w:rPr>
            <w:rStyle w:val="Hyperlink"/>
            <w:rFonts w:ascii="Century Gothic" w:hAnsi="Century Gothic" w:cs="Segoe UI"/>
            <w:color w:val="2D72C7"/>
            <w:sz w:val="24"/>
            <w:szCs w:val="24"/>
            <w:shd w:val="clear" w:color="auto" w:fill="FFFFFF"/>
          </w:rPr>
          <w:t>census.data@census.gov</w:t>
        </w:r>
      </w:hyperlink>
      <w:r w:rsidR="007A7F8C">
        <w:rPr>
          <w:rFonts w:ascii="Century Gothic" w:hAnsi="Century Gothic"/>
          <w:sz w:val="24"/>
          <w:szCs w:val="24"/>
        </w:rPr>
        <w:t xml:space="preserve"> or contact the County office to see if there are any Census data available for an unincorporated area.</w:t>
      </w:r>
    </w:p>
    <w:p w14:paraId="4203741F" w14:textId="618185F8" w:rsidR="00966618" w:rsidRPr="00C25183" w:rsidRDefault="00966618" w:rsidP="00955512">
      <w:pPr>
        <w:rPr>
          <w:rFonts w:ascii="Century Gothic" w:hAnsi="Century Gothic"/>
          <w:b/>
          <w:bCs/>
          <w:sz w:val="24"/>
          <w:szCs w:val="24"/>
        </w:rPr>
      </w:pPr>
      <w:r w:rsidRPr="00C25183">
        <w:rPr>
          <w:rFonts w:ascii="Century Gothic" w:hAnsi="Century Gothic"/>
          <w:b/>
          <w:bCs/>
          <w:sz w:val="24"/>
          <w:szCs w:val="24"/>
        </w:rPr>
        <w:t xml:space="preserve">Q: </w:t>
      </w:r>
      <w:r w:rsidR="009427AA" w:rsidRPr="00C25183">
        <w:rPr>
          <w:rFonts w:ascii="Century Gothic" w:hAnsi="Century Gothic"/>
          <w:b/>
          <w:bCs/>
          <w:sz w:val="24"/>
          <w:szCs w:val="24"/>
        </w:rPr>
        <w:t xml:space="preserve">If the margin of error on the </w:t>
      </w:r>
      <w:hyperlink r:id="rId11" w:history="1">
        <w:r w:rsidR="009427AA" w:rsidRPr="00C25183">
          <w:rPr>
            <w:rStyle w:val="Hyperlink"/>
            <w:rFonts w:ascii="Century Gothic" w:hAnsi="Century Gothic"/>
            <w:b/>
            <w:bCs/>
            <w:sz w:val="24"/>
            <w:szCs w:val="24"/>
          </w:rPr>
          <w:t>C16001 table</w:t>
        </w:r>
      </w:hyperlink>
      <w:r w:rsidR="009427AA" w:rsidRPr="00C25183">
        <w:rPr>
          <w:rFonts w:ascii="Century Gothic" w:hAnsi="Century Gothic"/>
          <w:b/>
          <w:bCs/>
          <w:sz w:val="24"/>
          <w:szCs w:val="24"/>
        </w:rPr>
        <w:t xml:space="preserve"> causes the size of the language group to go over 1000, will translations need to be provided?</w:t>
      </w:r>
    </w:p>
    <w:p w14:paraId="783A331D" w14:textId="2DB191ED" w:rsidR="009427AA" w:rsidRPr="007A7F8C" w:rsidRDefault="009427AA" w:rsidP="00955512">
      <w:pPr>
        <w:rPr>
          <w:rFonts w:ascii="Century Gothic" w:hAnsi="Century Gothic"/>
          <w:sz w:val="24"/>
          <w:szCs w:val="24"/>
        </w:rPr>
      </w:pPr>
      <w:r w:rsidRPr="00C25183">
        <w:rPr>
          <w:rFonts w:ascii="Century Gothic" w:hAnsi="Century Gothic"/>
          <w:b/>
          <w:bCs/>
          <w:sz w:val="24"/>
          <w:szCs w:val="24"/>
        </w:rPr>
        <w:t>A:</w:t>
      </w:r>
      <w:r>
        <w:rPr>
          <w:rFonts w:ascii="Century Gothic" w:hAnsi="Century Gothic"/>
          <w:b/>
          <w:bCs/>
          <w:sz w:val="24"/>
          <w:szCs w:val="24"/>
        </w:rPr>
        <w:t xml:space="preserve"> </w:t>
      </w:r>
      <w:r w:rsidR="008443E8">
        <w:rPr>
          <w:rFonts w:ascii="Century Gothic" w:hAnsi="Century Gothic"/>
          <w:sz w:val="24"/>
          <w:szCs w:val="24"/>
        </w:rPr>
        <w:t>Yes.  If the population size is over 1000, translations need to be provided.</w:t>
      </w:r>
    </w:p>
    <w:p w14:paraId="5394CF04" w14:textId="17E882B6" w:rsidR="00475D1B" w:rsidRDefault="00475D1B" w:rsidP="00955512">
      <w:pPr>
        <w:rPr>
          <w:rFonts w:ascii="Century Gothic" w:hAnsi="Century Gothic"/>
          <w:b/>
          <w:bCs/>
          <w:color w:val="FF0000"/>
          <w:sz w:val="24"/>
          <w:szCs w:val="24"/>
        </w:rPr>
      </w:pPr>
      <w:r>
        <w:rPr>
          <w:rFonts w:ascii="Century Gothic" w:hAnsi="Century Gothic"/>
          <w:b/>
          <w:bCs/>
          <w:sz w:val="24"/>
          <w:szCs w:val="24"/>
        </w:rPr>
        <w:t xml:space="preserve">Q: Is it accurate that if there are more than 1000 people within a Label on the </w:t>
      </w:r>
      <w:hyperlink r:id="rId12" w:history="1">
        <w:hyperlink r:id="rId13" w:history="1">
          <w:r w:rsidRPr="00E31D50">
            <w:rPr>
              <w:rStyle w:val="Hyperlink"/>
              <w:rFonts w:ascii="Century Gothic" w:hAnsi="Century Gothic"/>
              <w:b/>
              <w:bCs/>
              <w:sz w:val="24"/>
              <w:szCs w:val="24"/>
            </w:rPr>
            <w:t>C16001 table</w:t>
          </w:r>
        </w:hyperlink>
      </w:hyperlink>
      <w:r>
        <w:rPr>
          <w:rFonts w:ascii="Century Gothic" w:hAnsi="Century Gothic"/>
          <w:b/>
          <w:bCs/>
          <w:sz w:val="24"/>
          <w:szCs w:val="24"/>
        </w:rPr>
        <w:t xml:space="preserve">, that all critical documents are to be translated? </w:t>
      </w:r>
      <w:r w:rsidRPr="00DA0B80">
        <w:rPr>
          <w:rFonts w:ascii="Century Gothic" w:hAnsi="Century Gothic"/>
          <w:b/>
          <w:bCs/>
          <w:sz w:val="24"/>
          <w:szCs w:val="24"/>
        </w:rPr>
        <w:t>(From the Los Angeles County list, it seems that every single language would require translation of vital documents</w:t>
      </w:r>
      <w:r w:rsidR="00DA0B80">
        <w:rPr>
          <w:rFonts w:ascii="Century Gothic" w:hAnsi="Century Gothic"/>
          <w:b/>
          <w:bCs/>
          <w:sz w:val="24"/>
          <w:szCs w:val="24"/>
        </w:rPr>
        <w:t>.)</w:t>
      </w:r>
    </w:p>
    <w:p w14:paraId="5ED2B5B7" w14:textId="77777777" w:rsidR="007F7B0A" w:rsidRPr="007F7B0A" w:rsidRDefault="00475D1B" w:rsidP="007F7B0A">
      <w:pPr>
        <w:jc w:val="both"/>
        <w:rPr>
          <w:rFonts w:ascii="Century Gothic" w:hAnsi="Century Gothic"/>
          <w:sz w:val="24"/>
          <w:szCs w:val="24"/>
        </w:rPr>
      </w:pPr>
      <w:r>
        <w:rPr>
          <w:rFonts w:ascii="Century Gothic" w:hAnsi="Century Gothic"/>
          <w:b/>
          <w:bCs/>
          <w:sz w:val="24"/>
          <w:szCs w:val="24"/>
        </w:rPr>
        <w:t xml:space="preserve">A: </w:t>
      </w:r>
      <w:r w:rsidR="007F7B0A" w:rsidRPr="007F7B0A">
        <w:rPr>
          <w:rFonts w:ascii="Century Gothic" w:hAnsi="Century Gothic"/>
          <w:sz w:val="24"/>
          <w:szCs w:val="24"/>
        </w:rPr>
        <w:t>From a practical and cost-based perspective, we recognize that it would be impossible to translate every piece of outreach material into every language. However, it is important to ensure that written materials routinely provided in English also are provided in regularly encountered languages other than English and that vital documents are translated into the non-English language of each regularly encountered LEP group eligible to be served or likely to be affected by the program or activity.</w:t>
      </w:r>
    </w:p>
    <w:p w14:paraId="49596378" w14:textId="02353AB2" w:rsidR="00D327E3" w:rsidRPr="003F16EB" w:rsidRDefault="007F7B0A" w:rsidP="007F7B0A">
      <w:pPr>
        <w:jc w:val="both"/>
        <w:rPr>
          <w:rFonts w:ascii="Century Gothic" w:hAnsi="Century Gothic"/>
          <w:color w:val="FF0000"/>
          <w:sz w:val="24"/>
          <w:szCs w:val="24"/>
        </w:rPr>
      </w:pPr>
      <w:r w:rsidRPr="007F7B0A">
        <w:rPr>
          <w:rFonts w:ascii="Century Gothic" w:hAnsi="Century Gothic"/>
          <w:sz w:val="24"/>
          <w:szCs w:val="24"/>
        </w:rPr>
        <w:t xml:space="preserve">In the case of many larger documents, the translation of vital information contained within the document will suffice. Overall, it is essential for federal agencies to continually survey/assess the needs of eligible service populations to determine whether certain critical outreach materials should be translated into other languages. </w:t>
      </w:r>
    </w:p>
    <w:p w14:paraId="112E66F8" w14:textId="40FD56F5" w:rsidR="009427AA" w:rsidRDefault="009427AA" w:rsidP="00955512">
      <w:pPr>
        <w:rPr>
          <w:rFonts w:ascii="Century Gothic" w:hAnsi="Century Gothic"/>
          <w:b/>
          <w:bCs/>
          <w:sz w:val="24"/>
          <w:szCs w:val="24"/>
        </w:rPr>
      </w:pPr>
      <w:r>
        <w:rPr>
          <w:rFonts w:ascii="Century Gothic" w:hAnsi="Century Gothic"/>
          <w:b/>
          <w:bCs/>
          <w:sz w:val="24"/>
          <w:szCs w:val="24"/>
        </w:rPr>
        <w:t>Q: In areas where projects are near or cross a border (zip code, county, etc.), would we include the adjacent area into the tabulation?</w:t>
      </w:r>
    </w:p>
    <w:p w14:paraId="04A73F9B" w14:textId="5FCDFCD4" w:rsidR="009427AA" w:rsidRDefault="009427AA" w:rsidP="00955512">
      <w:pPr>
        <w:rPr>
          <w:rFonts w:ascii="Century Gothic" w:hAnsi="Century Gothic"/>
          <w:b/>
          <w:bCs/>
          <w:sz w:val="24"/>
          <w:szCs w:val="24"/>
        </w:rPr>
      </w:pPr>
      <w:r>
        <w:rPr>
          <w:rFonts w:ascii="Century Gothic" w:hAnsi="Century Gothic"/>
          <w:b/>
          <w:bCs/>
          <w:sz w:val="24"/>
          <w:szCs w:val="24"/>
        </w:rPr>
        <w:t xml:space="preserve">A: </w:t>
      </w:r>
      <w:r w:rsidR="008443E8" w:rsidRPr="008443E8">
        <w:rPr>
          <w:rFonts w:ascii="Century Gothic" w:hAnsi="Century Gothic"/>
          <w:sz w:val="24"/>
          <w:szCs w:val="24"/>
        </w:rPr>
        <w:t>Yes</w:t>
      </w:r>
      <w:r w:rsidR="00AE54E7">
        <w:rPr>
          <w:rFonts w:ascii="Century Gothic" w:hAnsi="Century Gothic"/>
          <w:sz w:val="24"/>
          <w:szCs w:val="24"/>
        </w:rPr>
        <w:t>, include the adjacent area in the tabulation where the projects are near or cross a border.  This effort will allow the local agency to consider the needs of all impacted residents.</w:t>
      </w:r>
    </w:p>
    <w:p w14:paraId="48D4EF19" w14:textId="2470440A" w:rsidR="009427AA" w:rsidRDefault="009427AA" w:rsidP="00955512">
      <w:pPr>
        <w:rPr>
          <w:rFonts w:ascii="Century Gothic" w:hAnsi="Century Gothic"/>
          <w:b/>
          <w:bCs/>
          <w:sz w:val="24"/>
          <w:szCs w:val="24"/>
        </w:rPr>
      </w:pPr>
      <w:r>
        <w:rPr>
          <w:rFonts w:ascii="Century Gothic" w:hAnsi="Century Gothic"/>
          <w:b/>
          <w:bCs/>
          <w:sz w:val="24"/>
          <w:szCs w:val="24"/>
        </w:rPr>
        <w:t>Q: Does Factor 1 only consider statistical census / American Community Survey (ACS)</w:t>
      </w:r>
      <w:r w:rsidR="00FA7DCA">
        <w:rPr>
          <w:rFonts w:ascii="Century Gothic" w:hAnsi="Century Gothic"/>
          <w:b/>
          <w:bCs/>
          <w:sz w:val="24"/>
          <w:szCs w:val="24"/>
        </w:rPr>
        <w:t xml:space="preserve"> data, or can you add local knowledge? For example, census data includes prison population which is normally not part of population affect by projects or programs.</w:t>
      </w:r>
    </w:p>
    <w:p w14:paraId="01EEF2CD" w14:textId="0AEAEC3A" w:rsidR="00FA7DCA" w:rsidRPr="00271160" w:rsidRDefault="00FA7DCA" w:rsidP="007F7B0A">
      <w:pPr>
        <w:jc w:val="both"/>
        <w:rPr>
          <w:rFonts w:ascii="Century Gothic" w:hAnsi="Century Gothic"/>
          <w:sz w:val="24"/>
          <w:szCs w:val="24"/>
        </w:rPr>
      </w:pPr>
      <w:r>
        <w:rPr>
          <w:rFonts w:ascii="Century Gothic" w:hAnsi="Century Gothic"/>
          <w:b/>
          <w:bCs/>
          <w:sz w:val="24"/>
          <w:szCs w:val="24"/>
        </w:rPr>
        <w:t xml:space="preserve">A: </w:t>
      </w:r>
      <w:r w:rsidR="00271160">
        <w:rPr>
          <w:rFonts w:ascii="Century Gothic" w:hAnsi="Century Gothic"/>
          <w:sz w:val="24"/>
          <w:szCs w:val="24"/>
        </w:rPr>
        <w:t>For Factor 1, you can add local knowledge as well. It is best to show data for your analysis. You will know best who to include in the eligible population. Different programs have different numbers of people who are being served or impacted.</w:t>
      </w:r>
    </w:p>
    <w:p w14:paraId="270A3BC4" w14:textId="6F0A63DF" w:rsidR="00FA7DCA" w:rsidRDefault="00FA7DCA" w:rsidP="00955512">
      <w:pPr>
        <w:rPr>
          <w:rFonts w:ascii="Century Gothic" w:hAnsi="Century Gothic"/>
          <w:b/>
          <w:bCs/>
          <w:sz w:val="24"/>
          <w:szCs w:val="24"/>
        </w:rPr>
      </w:pPr>
      <w:r>
        <w:rPr>
          <w:rFonts w:ascii="Century Gothic" w:hAnsi="Century Gothic"/>
          <w:b/>
          <w:bCs/>
          <w:sz w:val="24"/>
          <w:szCs w:val="24"/>
        </w:rPr>
        <w:t xml:space="preserve">Q: </w:t>
      </w:r>
      <w:r w:rsidR="00475D1B">
        <w:rPr>
          <w:rFonts w:ascii="Century Gothic" w:hAnsi="Century Gothic"/>
          <w:b/>
          <w:bCs/>
          <w:sz w:val="24"/>
          <w:szCs w:val="24"/>
        </w:rPr>
        <w:t>What if we wanted to find out what percentage of Sacramento County residents speak another language at home? Could we get this info on the US Census website?</w:t>
      </w:r>
    </w:p>
    <w:p w14:paraId="7CA66129" w14:textId="66CFAA67" w:rsidR="00475D1B" w:rsidRPr="005D0184" w:rsidRDefault="00475D1B" w:rsidP="00D4460B">
      <w:pPr>
        <w:jc w:val="both"/>
        <w:rPr>
          <w:rFonts w:ascii="Century Gothic" w:hAnsi="Century Gothic"/>
          <w:sz w:val="24"/>
          <w:szCs w:val="24"/>
        </w:rPr>
      </w:pPr>
      <w:r>
        <w:rPr>
          <w:rFonts w:ascii="Century Gothic" w:hAnsi="Century Gothic"/>
          <w:b/>
          <w:bCs/>
          <w:sz w:val="24"/>
          <w:szCs w:val="24"/>
        </w:rPr>
        <w:lastRenderedPageBreak/>
        <w:t xml:space="preserve">A: </w:t>
      </w:r>
      <w:r w:rsidR="007F7B0A" w:rsidRPr="007F7B0A">
        <w:rPr>
          <w:rFonts w:ascii="Century Gothic" w:hAnsi="Century Gothic"/>
          <w:sz w:val="24"/>
          <w:szCs w:val="24"/>
        </w:rPr>
        <w:t>Yes, the info can be found on the US Census website. View the </w:t>
      </w:r>
      <w:hyperlink r:id="rId14" w:tgtFrame="_blank" w:history="1">
        <w:r w:rsidR="007F7B0A" w:rsidRPr="007F7B0A">
          <w:rPr>
            <w:rStyle w:val="Hyperlink"/>
            <w:rFonts w:ascii="Century Gothic" w:hAnsi="Century Gothic"/>
            <w:color w:val="4A6EE0"/>
            <w:sz w:val="24"/>
            <w:szCs w:val="24"/>
          </w:rPr>
          <w:t>C16001 table</w:t>
        </w:r>
      </w:hyperlink>
      <w:r w:rsidR="007F7B0A" w:rsidRPr="007F7B0A">
        <w:rPr>
          <w:rFonts w:ascii="Century Gothic" w:hAnsi="Century Gothic"/>
          <w:sz w:val="24"/>
          <w:szCs w:val="24"/>
        </w:rPr>
        <w:t>, then search under “Geos,” “County”, “California”, then select “Sacramento County, California.” The table will list estimates for other languages spoken at home.</w:t>
      </w:r>
    </w:p>
    <w:p w14:paraId="403CC4CE" w14:textId="75A091E5" w:rsidR="00475D1B" w:rsidRDefault="00475D1B" w:rsidP="00955512">
      <w:pPr>
        <w:rPr>
          <w:rFonts w:ascii="Century Gothic" w:hAnsi="Century Gothic"/>
          <w:b/>
          <w:bCs/>
          <w:sz w:val="24"/>
          <w:szCs w:val="24"/>
        </w:rPr>
      </w:pPr>
      <w:r>
        <w:rPr>
          <w:rFonts w:ascii="Century Gothic" w:hAnsi="Century Gothic"/>
          <w:b/>
          <w:bCs/>
          <w:sz w:val="24"/>
          <w:szCs w:val="24"/>
        </w:rPr>
        <w:t>Q: Can you get data from a county, zip code, and also streets? (i.e. 3 streets near a school that wants to develop an office, but needs that community’s input)?</w:t>
      </w:r>
    </w:p>
    <w:p w14:paraId="2C09E8E4" w14:textId="008F5BCF" w:rsidR="00475D1B" w:rsidRPr="00751B80" w:rsidRDefault="00475D1B" w:rsidP="00D4460B">
      <w:pPr>
        <w:jc w:val="both"/>
        <w:rPr>
          <w:rFonts w:ascii="Century Gothic" w:hAnsi="Century Gothic"/>
          <w:sz w:val="24"/>
          <w:szCs w:val="24"/>
        </w:rPr>
      </w:pPr>
      <w:r>
        <w:rPr>
          <w:rFonts w:ascii="Century Gothic" w:hAnsi="Century Gothic"/>
          <w:b/>
          <w:bCs/>
          <w:sz w:val="24"/>
          <w:szCs w:val="24"/>
        </w:rPr>
        <w:t xml:space="preserve">A: </w:t>
      </w:r>
      <w:r w:rsidR="00751B80">
        <w:rPr>
          <w:rFonts w:ascii="Century Gothic" w:hAnsi="Century Gothic"/>
          <w:sz w:val="24"/>
          <w:szCs w:val="24"/>
        </w:rPr>
        <w:t xml:space="preserve">When viewing the </w:t>
      </w:r>
      <w:hyperlink r:id="rId15" w:history="1">
        <w:r w:rsidR="00751B80" w:rsidRPr="00E31D50">
          <w:rPr>
            <w:rStyle w:val="Hyperlink"/>
            <w:rFonts w:ascii="Century Gothic" w:hAnsi="Century Gothic"/>
            <w:sz w:val="24"/>
            <w:szCs w:val="24"/>
          </w:rPr>
          <w:t>C16001 table</w:t>
        </w:r>
      </w:hyperlink>
      <w:r w:rsidR="00751B80">
        <w:rPr>
          <w:rFonts w:ascii="Century Gothic" w:hAnsi="Century Gothic"/>
          <w:sz w:val="24"/>
          <w:szCs w:val="24"/>
        </w:rPr>
        <w:t xml:space="preserve">, </w:t>
      </w:r>
      <w:r w:rsidR="00F276B2">
        <w:rPr>
          <w:rFonts w:ascii="Century Gothic" w:hAnsi="Century Gothic"/>
          <w:sz w:val="24"/>
          <w:szCs w:val="24"/>
        </w:rPr>
        <w:t xml:space="preserve">you can search data for geographies such as county, place, 5-digit zip code, metropolitan statistical area, tract, division, </w:t>
      </w:r>
      <w:r w:rsidR="00040BFF">
        <w:rPr>
          <w:rFonts w:ascii="Century Gothic" w:hAnsi="Century Gothic"/>
          <w:sz w:val="24"/>
          <w:szCs w:val="24"/>
        </w:rPr>
        <w:t xml:space="preserve">elementary school district, block, voting district, etc. </w:t>
      </w:r>
    </w:p>
    <w:p w14:paraId="616AF05C" w14:textId="77777777" w:rsidR="009427AA" w:rsidRDefault="009427AA" w:rsidP="00955512">
      <w:pPr>
        <w:rPr>
          <w:rFonts w:ascii="Century Gothic" w:hAnsi="Century Gothic"/>
          <w:b/>
          <w:bCs/>
          <w:sz w:val="24"/>
          <w:szCs w:val="24"/>
        </w:rPr>
      </w:pPr>
    </w:p>
    <w:p w14:paraId="0268969A" w14:textId="77777777" w:rsidR="00014351" w:rsidRDefault="00014351" w:rsidP="00955512">
      <w:pPr>
        <w:rPr>
          <w:rFonts w:ascii="Century Gothic" w:hAnsi="Century Gothic"/>
          <w:b/>
          <w:bCs/>
          <w:sz w:val="32"/>
          <w:szCs w:val="32"/>
        </w:rPr>
      </w:pPr>
    </w:p>
    <w:p w14:paraId="4B5F9376" w14:textId="7B70C7DE" w:rsidR="00014351" w:rsidRDefault="00014351" w:rsidP="00955512">
      <w:pPr>
        <w:rPr>
          <w:rFonts w:ascii="Century Gothic" w:hAnsi="Century Gothic"/>
          <w:b/>
          <w:bCs/>
          <w:sz w:val="32"/>
          <w:szCs w:val="32"/>
        </w:rPr>
      </w:pPr>
    </w:p>
    <w:p w14:paraId="30B095D9" w14:textId="0171659A" w:rsidR="0083471E" w:rsidRDefault="0083471E" w:rsidP="00955512">
      <w:pPr>
        <w:rPr>
          <w:rFonts w:ascii="Century Gothic" w:hAnsi="Century Gothic"/>
          <w:b/>
          <w:bCs/>
          <w:sz w:val="32"/>
          <w:szCs w:val="32"/>
        </w:rPr>
      </w:pPr>
    </w:p>
    <w:p w14:paraId="76536829" w14:textId="78CFD4F8" w:rsidR="0083471E" w:rsidRDefault="0083471E" w:rsidP="00955512">
      <w:pPr>
        <w:rPr>
          <w:rFonts w:ascii="Century Gothic" w:hAnsi="Century Gothic"/>
          <w:b/>
          <w:bCs/>
          <w:sz w:val="32"/>
          <w:szCs w:val="32"/>
        </w:rPr>
      </w:pPr>
    </w:p>
    <w:p w14:paraId="582A1F02" w14:textId="62F485BD" w:rsidR="0083471E" w:rsidRDefault="0083471E" w:rsidP="00955512">
      <w:pPr>
        <w:rPr>
          <w:rFonts w:ascii="Century Gothic" w:hAnsi="Century Gothic"/>
          <w:b/>
          <w:bCs/>
          <w:sz w:val="32"/>
          <w:szCs w:val="32"/>
        </w:rPr>
      </w:pPr>
    </w:p>
    <w:p w14:paraId="59BB80B8" w14:textId="0946039D" w:rsidR="0083471E" w:rsidRDefault="0083471E" w:rsidP="00955512">
      <w:pPr>
        <w:rPr>
          <w:rFonts w:ascii="Century Gothic" w:hAnsi="Century Gothic"/>
          <w:b/>
          <w:bCs/>
          <w:sz w:val="32"/>
          <w:szCs w:val="32"/>
        </w:rPr>
      </w:pPr>
    </w:p>
    <w:p w14:paraId="5E055FAC" w14:textId="0F3427D3" w:rsidR="0083471E" w:rsidRDefault="0083471E" w:rsidP="00955512">
      <w:pPr>
        <w:rPr>
          <w:rFonts w:ascii="Century Gothic" w:hAnsi="Century Gothic"/>
          <w:b/>
          <w:bCs/>
          <w:sz w:val="32"/>
          <w:szCs w:val="32"/>
        </w:rPr>
      </w:pPr>
    </w:p>
    <w:p w14:paraId="5EE87110" w14:textId="1646617C" w:rsidR="0083471E" w:rsidRDefault="0083471E" w:rsidP="00955512">
      <w:pPr>
        <w:rPr>
          <w:rFonts w:ascii="Century Gothic" w:hAnsi="Century Gothic"/>
          <w:b/>
          <w:bCs/>
          <w:sz w:val="32"/>
          <w:szCs w:val="32"/>
        </w:rPr>
      </w:pPr>
    </w:p>
    <w:p w14:paraId="25169064" w14:textId="6DAE0499" w:rsidR="0083471E" w:rsidRDefault="0083471E" w:rsidP="00955512">
      <w:pPr>
        <w:rPr>
          <w:rFonts w:ascii="Century Gothic" w:hAnsi="Century Gothic"/>
          <w:b/>
          <w:bCs/>
          <w:sz w:val="32"/>
          <w:szCs w:val="32"/>
        </w:rPr>
      </w:pPr>
    </w:p>
    <w:p w14:paraId="47F34B3B" w14:textId="5B99F4C4" w:rsidR="0083471E" w:rsidRDefault="0083471E" w:rsidP="00955512">
      <w:pPr>
        <w:rPr>
          <w:rFonts w:ascii="Century Gothic" w:hAnsi="Century Gothic"/>
          <w:b/>
          <w:bCs/>
          <w:sz w:val="32"/>
          <w:szCs w:val="32"/>
        </w:rPr>
      </w:pPr>
    </w:p>
    <w:p w14:paraId="3C4FF758" w14:textId="22D05AC2" w:rsidR="0061371A" w:rsidRDefault="0061371A">
      <w:pPr>
        <w:rPr>
          <w:rFonts w:ascii="Century Gothic" w:hAnsi="Century Gothic"/>
          <w:b/>
          <w:bCs/>
          <w:sz w:val="32"/>
          <w:szCs w:val="32"/>
        </w:rPr>
      </w:pPr>
      <w:r>
        <w:rPr>
          <w:rFonts w:ascii="Century Gothic" w:hAnsi="Century Gothic"/>
          <w:b/>
          <w:bCs/>
          <w:sz w:val="32"/>
          <w:szCs w:val="32"/>
        </w:rPr>
        <w:br w:type="page"/>
      </w:r>
    </w:p>
    <w:p w14:paraId="2CEBB304" w14:textId="01664487" w:rsidR="00966618" w:rsidRPr="00D77C27" w:rsidRDefault="00EC443D" w:rsidP="00226CB6">
      <w:pPr>
        <w:rPr>
          <w:rFonts w:ascii="Century Gothic" w:hAnsi="Century Gothic"/>
          <w:b/>
          <w:bCs/>
          <w:sz w:val="32"/>
          <w:szCs w:val="32"/>
        </w:rPr>
      </w:pPr>
      <w:r>
        <w:rPr>
          <w:rFonts w:ascii="Century Gothic" w:hAnsi="Century Gothic"/>
          <w:b/>
          <w:bCs/>
          <w:sz w:val="32"/>
          <w:szCs w:val="32"/>
        </w:rPr>
        <w:lastRenderedPageBreak/>
        <w:t xml:space="preserve">LEP </w:t>
      </w:r>
      <w:r w:rsidRPr="00D77C27">
        <w:rPr>
          <w:rFonts w:ascii="Century Gothic" w:hAnsi="Century Gothic"/>
          <w:b/>
          <w:bCs/>
          <w:sz w:val="32"/>
          <w:szCs w:val="32"/>
        </w:rPr>
        <w:t>Resources:</w:t>
      </w:r>
    </w:p>
    <w:p w14:paraId="6D5C02DB" w14:textId="77777777" w:rsidR="0083471E" w:rsidRPr="0083471E" w:rsidRDefault="0083471E" w:rsidP="0083471E">
      <w:pPr>
        <w:pStyle w:val="NormalWeb"/>
        <w:shd w:val="clear" w:color="auto" w:fill="FFFFFF"/>
        <w:spacing w:before="0" w:beforeAutospacing="0"/>
        <w:rPr>
          <w:rFonts w:ascii="Century Gothic" w:hAnsi="Century Gothic"/>
          <w:color w:val="333333"/>
        </w:rPr>
      </w:pPr>
      <w:r w:rsidRPr="0083471E">
        <w:rPr>
          <w:rStyle w:val="Strong"/>
          <w:rFonts w:ascii="Century Gothic" w:hAnsi="Century Gothic"/>
          <w:color w:val="333333"/>
        </w:rPr>
        <w:t>Sample of Title VI LEP</w:t>
      </w:r>
    </w:p>
    <w:p w14:paraId="7DE69041" w14:textId="77777777" w:rsidR="0083471E" w:rsidRPr="0083471E" w:rsidRDefault="00B51527" w:rsidP="0083471E">
      <w:pPr>
        <w:numPr>
          <w:ilvl w:val="0"/>
          <w:numId w:val="6"/>
        </w:numPr>
        <w:shd w:val="clear" w:color="auto" w:fill="FFFFFF"/>
        <w:spacing w:before="100" w:beforeAutospacing="1" w:after="100" w:afterAutospacing="1" w:line="240" w:lineRule="auto"/>
        <w:ind w:left="1080"/>
        <w:rPr>
          <w:rFonts w:ascii="Century Gothic" w:hAnsi="Century Gothic"/>
          <w:color w:val="333333"/>
          <w:sz w:val="24"/>
          <w:szCs w:val="24"/>
        </w:rPr>
      </w:pPr>
      <w:hyperlink r:id="rId16" w:tgtFrame="_blank" w:history="1">
        <w:r w:rsidR="0083471E" w:rsidRPr="0083471E">
          <w:rPr>
            <w:rStyle w:val="Hyperlink"/>
            <w:rFonts w:ascii="Century Gothic" w:hAnsi="Century Gothic"/>
            <w:color w:val="046B99"/>
            <w:sz w:val="24"/>
            <w:szCs w:val="24"/>
          </w:rPr>
          <w:t>Caltrans Language Access Plan 2020 (PDF)</w:t>
        </w:r>
      </w:hyperlink>
    </w:p>
    <w:p w14:paraId="113901D5" w14:textId="77777777" w:rsidR="0083471E" w:rsidRPr="0083471E" w:rsidRDefault="00B51527" w:rsidP="0083471E">
      <w:pPr>
        <w:numPr>
          <w:ilvl w:val="0"/>
          <w:numId w:val="6"/>
        </w:numPr>
        <w:shd w:val="clear" w:color="auto" w:fill="FFFFFF"/>
        <w:spacing w:before="100" w:beforeAutospacing="1" w:after="100" w:afterAutospacing="1" w:line="240" w:lineRule="auto"/>
        <w:ind w:left="1080"/>
        <w:rPr>
          <w:rFonts w:ascii="Century Gothic" w:hAnsi="Century Gothic"/>
          <w:color w:val="333333"/>
          <w:sz w:val="24"/>
          <w:szCs w:val="24"/>
        </w:rPr>
      </w:pPr>
      <w:hyperlink r:id="rId17" w:tgtFrame="_blank" w:history="1">
        <w:r w:rsidR="0083471E" w:rsidRPr="0083471E">
          <w:rPr>
            <w:rStyle w:val="Hyperlink"/>
            <w:rFonts w:ascii="Century Gothic" w:hAnsi="Century Gothic"/>
            <w:color w:val="046B99"/>
            <w:sz w:val="24"/>
            <w:szCs w:val="24"/>
          </w:rPr>
          <w:t>SACOG’s Title VI LEP Plan 2018 (PDF)</w:t>
        </w:r>
      </w:hyperlink>
    </w:p>
    <w:p w14:paraId="5307F15D" w14:textId="77777777" w:rsidR="0083471E" w:rsidRPr="0083471E" w:rsidRDefault="0083471E" w:rsidP="0083471E">
      <w:pPr>
        <w:pStyle w:val="NormalWeb"/>
        <w:shd w:val="clear" w:color="auto" w:fill="FFFFFF"/>
        <w:spacing w:before="0" w:beforeAutospacing="0"/>
        <w:rPr>
          <w:rFonts w:ascii="Century Gothic" w:hAnsi="Century Gothic"/>
          <w:color w:val="333333"/>
        </w:rPr>
      </w:pPr>
      <w:r w:rsidRPr="0083471E">
        <w:rPr>
          <w:rStyle w:val="Strong"/>
          <w:rFonts w:ascii="Century Gothic" w:hAnsi="Century Gothic"/>
          <w:color w:val="333333"/>
        </w:rPr>
        <w:t>Guidance</w:t>
      </w:r>
    </w:p>
    <w:p w14:paraId="72C36455" w14:textId="3DE139AD" w:rsidR="0083471E" w:rsidRPr="0083471E" w:rsidRDefault="00B51527" w:rsidP="0083471E">
      <w:pPr>
        <w:numPr>
          <w:ilvl w:val="0"/>
          <w:numId w:val="7"/>
        </w:numPr>
        <w:shd w:val="clear" w:color="auto" w:fill="FFFFFF"/>
        <w:spacing w:before="100" w:beforeAutospacing="1" w:after="100" w:afterAutospacing="1" w:line="240" w:lineRule="auto"/>
        <w:ind w:left="1080"/>
        <w:rPr>
          <w:rFonts w:ascii="Century Gothic" w:hAnsi="Century Gothic"/>
          <w:color w:val="333333"/>
          <w:sz w:val="24"/>
          <w:szCs w:val="24"/>
        </w:rPr>
      </w:pPr>
      <w:hyperlink r:id="rId18" w:tgtFrame="_blank" w:history="1">
        <w:r w:rsidR="0083471E" w:rsidRPr="0083471E">
          <w:rPr>
            <w:rStyle w:val="Hyperlink"/>
            <w:rFonts w:ascii="Century Gothic" w:hAnsi="Century Gothic"/>
            <w:color w:val="046B99"/>
            <w:sz w:val="24"/>
            <w:szCs w:val="24"/>
          </w:rPr>
          <w:t>U.S. Department of Transportation</w:t>
        </w:r>
        <w:r w:rsidR="0061371A">
          <w:rPr>
            <w:rStyle w:val="Hyperlink"/>
            <w:rFonts w:ascii="Century Gothic" w:hAnsi="Century Gothic"/>
            <w:color w:val="046B99"/>
            <w:sz w:val="24"/>
            <w:szCs w:val="24"/>
          </w:rPr>
          <w:t xml:space="preserve"> (DOT)</w:t>
        </w:r>
        <w:r w:rsidR="0083471E" w:rsidRPr="0083471E">
          <w:rPr>
            <w:rStyle w:val="Hyperlink"/>
            <w:rFonts w:ascii="Century Gothic" w:hAnsi="Century Gothic"/>
            <w:color w:val="046B99"/>
            <w:sz w:val="24"/>
            <w:szCs w:val="24"/>
          </w:rPr>
          <w:t xml:space="preserve"> LEP Guidance</w:t>
        </w:r>
      </w:hyperlink>
    </w:p>
    <w:p w14:paraId="4CED1221" w14:textId="77777777" w:rsidR="0083471E" w:rsidRPr="0083471E" w:rsidRDefault="00B51527" w:rsidP="0083471E">
      <w:pPr>
        <w:numPr>
          <w:ilvl w:val="0"/>
          <w:numId w:val="7"/>
        </w:numPr>
        <w:shd w:val="clear" w:color="auto" w:fill="FFFFFF"/>
        <w:spacing w:before="100" w:beforeAutospacing="1" w:after="100" w:afterAutospacing="1" w:line="240" w:lineRule="auto"/>
        <w:ind w:left="1080"/>
        <w:rPr>
          <w:rFonts w:ascii="Century Gothic" w:hAnsi="Century Gothic"/>
          <w:color w:val="333333"/>
          <w:sz w:val="24"/>
          <w:szCs w:val="24"/>
        </w:rPr>
      </w:pPr>
      <w:hyperlink r:id="rId19" w:tgtFrame="_blank" w:history="1">
        <w:r w:rsidR="0083471E" w:rsidRPr="0083471E">
          <w:rPr>
            <w:rStyle w:val="Hyperlink"/>
            <w:rFonts w:ascii="Century Gothic" w:hAnsi="Century Gothic"/>
            <w:color w:val="046B99"/>
            <w:sz w:val="24"/>
            <w:szCs w:val="24"/>
          </w:rPr>
          <w:t>U.S. Department of Justice (DOJ) LEP Guidance (PDF)</w:t>
        </w:r>
      </w:hyperlink>
    </w:p>
    <w:p w14:paraId="3DDD6291" w14:textId="77777777" w:rsidR="0083471E" w:rsidRPr="0083471E" w:rsidRDefault="0083471E" w:rsidP="0083471E">
      <w:pPr>
        <w:pStyle w:val="NormalWeb"/>
        <w:shd w:val="clear" w:color="auto" w:fill="FFFFFF"/>
        <w:spacing w:before="0" w:beforeAutospacing="0"/>
        <w:rPr>
          <w:rFonts w:ascii="Century Gothic" w:hAnsi="Century Gothic"/>
          <w:color w:val="333333"/>
        </w:rPr>
      </w:pPr>
      <w:r w:rsidRPr="0083471E">
        <w:rPr>
          <w:rStyle w:val="Strong"/>
          <w:rFonts w:ascii="Century Gothic" w:hAnsi="Century Gothic"/>
          <w:color w:val="333333"/>
        </w:rPr>
        <w:t>Publications</w:t>
      </w:r>
    </w:p>
    <w:p w14:paraId="711B21B3" w14:textId="77777777" w:rsidR="0083471E" w:rsidRPr="0083471E" w:rsidRDefault="00B51527" w:rsidP="0083471E">
      <w:pPr>
        <w:numPr>
          <w:ilvl w:val="0"/>
          <w:numId w:val="8"/>
        </w:numPr>
        <w:shd w:val="clear" w:color="auto" w:fill="FFFFFF"/>
        <w:spacing w:before="100" w:beforeAutospacing="1" w:after="100" w:afterAutospacing="1" w:line="240" w:lineRule="auto"/>
        <w:ind w:left="1080"/>
        <w:rPr>
          <w:rFonts w:ascii="Century Gothic" w:hAnsi="Century Gothic"/>
          <w:color w:val="333333"/>
          <w:sz w:val="24"/>
          <w:szCs w:val="24"/>
        </w:rPr>
      </w:pPr>
      <w:hyperlink r:id="rId20" w:tgtFrame="_blank" w:history="1">
        <w:r w:rsidR="0083471E" w:rsidRPr="0083471E">
          <w:rPr>
            <w:rStyle w:val="Hyperlink"/>
            <w:rFonts w:ascii="Century Gothic" w:hAnsi="Century Gothic"/>
            <w:color w:val="046B99"/>
            <w:sz w:val="24"/>
            <w:szCs w:val="24"/>
          </w:rPr>
          <w:t>I Speak Cards (PDF)</w:t>
        </w:r>
      </w:hyperlink>
    </w:p>
    <w:p w14:paraId="38E8C5BE" w14:textId="77777777" w:rsidR="0083471E" w:rsidRPr="0083471E" w:rsidRDefault="00B51527" w:rsidP="0083471E">
      <w:pPr>
        <w:numPr>
          <w:ilvl w:val="0"/>
          <w:numId w:val="8"/>
        </w:numPr>
        <w:shd w:val="clear" w:color="auto" w:fill="FFFFFF"/>
        <w:spacing w:before="100" w:beforeAutospacing="1" w:after="100" w:afterAutospacing="1" w:line="240" w:lineRule="auto"/>
        <w:ind w:left="1080"/>
        <w:rPr>
          <w:rFonts w:ascii="Century Gothic" w:hAnsi="Century Gothic"/>
          <w:color w:val="333333"/>
          <w:sz w:val="24"/>
          <w:szCs w:val="24"/>
        </w:rPr>
      </w:pPr>
      <w:hyperlink r:id="rId21" w:tgtFrame="_blank" w:history="1">
        <w:r w:rsidR="0083471E" w:rsidRPr="0083471E">
          <w:rPr>
            <w:rStyle w:val="Hyperlink"/>
            <w:rFonts w:ascii="Century Gothic" w:hAnsi="Century Gothic"/>
            <w:color w:val="046B99"/>
            <w:sz w:val="24"/>
            <w:szCs w:val="24"/>
          </w:rPr>
          <w:t>Highway Emergency Language Protocol (PDF)</w:t>
        </w:r>
      </w:hyperlink>
    </w:p>
    <w:p w14:paraId="54F6CB49" w14:textId="77777777" w:rsidR="0083471E" w:rsidRPr="0083471E" w:rsidRDefault="00B51527" w:rsidP="0083471E">
      <w:pPr>
        <w:numPr>
          <w:ilvl w:val="0"/>
          <w:numId w:val="8"/>
        </w:numPr>
        <w:shd w:val="clear" w:color="auto" w:fill="FFFFFF"/>
        <w:spacing w:before="100" w:beforeAutospacing="1" w:after="100" w:afterAutospacing="1" w:line="240" w:lineRule="auto"/>
        <w:ind w:left="1080"/>
        <w:rPr>
          <w:rFonts w:ascii="Century Gothic" w:hAnsi="Century Gothic"/>
          <w:color w:val="333333"/>
          <w:sz w:val="24"/>
          <w:szCs w:val="24"/>
        </w:rPr>
      </w:pPr>
      <w:hyperlink r:id="rId22" w:anchor="KYRB" w:tgtFrame="_blank" w:history="1">
        <w:r w:rsidR="0083471E" w:rsidRPr="0083471E">
          <w:rPr>
            <w:rStyle w:val="Hyperlink"/>
            <w:rFonts w:ascii="Century Gothic" w:hAnsi="Century Gothic"/>
            <w:color w:val="02374E"/>
            <w:sz w:val="24"/>
            <w:szCs w:val="24"/>
          </w:rPr>
          <w:t>U.S. DOJ Know Your Rights Beneficiary Brochure</w:t>
        </w:r>
      </w:hyperlink>
    </w:p>
    <w:p w14:paraId="1AE19161" w14:textId="77777777" w:rsidR="0083471E" w:rsidRPr="0083471E" w:rsidRDefault="0083471E" w:rsidP="0083471E">
      <w:pPr>
        <w:pStyle w:val="NormalWeb"/>
        <w:shd w:val="clear" w:color="auto" w:fill="FFFFFF"/>
        <w:spacing w:before="0" w:beforeAutospacing="0"/>
        <w:rPr>
          <w:rFonts w:ascii="Century Gothic" w:hAnsi="Century Gothic"/>
          <w:color w:val="333333"/>
        </w:rPr>
      </w:pPr>
      <w:r w:rsidRPr="0083471E">
        <w:rPr>
          <w:rStyle w:val="Strong"/>
          <w:rFonts w:ascii="Century Gothic" w:hAnsi="Century Gothic"/>
          <w:color w:val="333333"/>
        </w:rPr>
        <w:t>Resources</w:t>
      </w:r>
    </w:p>
    <w:p w14:paraId="5A92F241" w14:textId="046E76BF" w:rsidR="0083471E" w:rsidRPr="0083471E" w:rsidRDefault="00B51527" w:rsidP="0083471E">
      <w:pPr>
        <w:numPr>
          <w:ilvl w:val="0"/>
          <w:numId w:val="9"/>
        </w:numPr>
        <w:shd w:val="clear" w:color="auto" w:fill="FFFFFF"/>
        <w:spacing w:before="100" w:beforeAutospacing="1" w:after="100" w:afterAutospacing="1" w:line="240" w:lineRule="auto"/>
        <w:ind w:left="1080"/>
        <w:rPr>
          <w:rFonts w:ascii="Century Gothic" w:hAnsi="Century Gothic"/>
          <w:color w:val="333333"/>
          <w:sz w:val="24"/>
          <w:szCs w:val="24"/>
        </w:rPr>
      </w:pPr>
      <w:hyperlink r:id="rId23" w:tgtFrame="_blank" w:history="1">
        <w:r w:rsidR="0083471E" w:rsidRPr="0083471E">
          <w:rPr>
            <w:rStyle w:val="Hyperlink"/>
            <w:rFonts w:ascii="Century Gothic" w:hAnsi="Century Gothic"/>
            <w:color w:val="046B99"/>
            <w:sz w:val="24"/>
            <w:szCs w:val="24"/>
          </w:rPr>
          <w:t>CA Department of Human Resources Bilingual Services Program</w:t>
        </w:r>
      </w:hyperlink>
    </w:p>
    <w:p w14:paraId="52649469" w14:textId="52539592" w:rsidR="0083471E" w:rsidRPr="0083471E" w:rsidRDefault="00B51527" w:rsidP="0083471E">
      <w:pPr>
        <w:numPr>
          <w:ilvl w:val="0"/>
          <w:numId w:val="9"/>
        </w:numPr>
        <w:shd w:val="clear" w:color="auto" w:fill="FFFFFF"/>
        <w:spacing w:before="100" w:beforeAutospacing="1" w:after="100" w:afterAutospacing="1" w:line="240" w:lineRule="auto"/>
        <w:ind w:left="1080"/>
        <w:rPr>
          <w:rFonts w:ascii="Century Gothic" w:hAnsi="Century Gothic"/>
          <w:color w:val="333333"/>
          <w:sz w:val="24"/>
          <w:szCs w:val="24"/>
        </w:rPr>
      </w:pPr>
      <w:hyperlink r:id="rId24" w:tgtFrame="_blank" w:history="1">
        <w:r w:rsidR="00622D82">
          <w:rPr>
            <w:rStyle w:val="Hyperlink"/>
            <w:rFonts w:ascii="Century Gothic" w:hAnsi="Century Gothic"/>
            <w:color w:val="046B99"/>
            <w:sz w:val="24"/>
            <w:szCs w:val="24"/>
          </w:rPr>
          <w:t>U.S. DOJ Language Access Planning</w:t>
        </w:r>
      </w:hyperlink>
    </w:p>
    <w:p w14:paraId="674B731A" w14:textId="5DEC422F" w:rsidR="00014351" w:rsidRPr="0083471E" w:rsidRDefault="0092435E" w:rsidP="00955512">
      <w:pPr>
        <w:rPr>
          <w:rFonts w:ascii="Century Gothic" w:hAnsi="Century Gothic"/>
          <w:b/>
          <w:bCs/>
          <w:noProof/>
          <w:sz w:val="24"/>
          <w:szCs w:val="24"/>
        </w:rPr>
      </w:pPr>
      <w:r w:rsidRPr="0083471E">
        <w:rPr>
          <w:rFonts w:ascii="Century Gothic" w:hAnsi="Century Gothic"/>
          <w:b/>
          <w:bCs/>
          <w:noProof/>
          <w:sz w:val="24"/>
          <w:szCs w:val="24"/>
        </w:rPr>
        <w:t>Caltrans Division of Local Assistance Contacts:</w:t>
      </w:r>
    </w:p>
    <w:p w14:paraId="76633EA4" w14:textId="77777777" w:rsidR="00F955A2" w:rsidRPr="0083471E" w:rsidRDefault="00D77C27" w:rsidP="00F955A2">
      <w:pPr>
        <w:pStyle w:val="ListParagraph"/>
        <w:numPr>
          <w:ilvl w:val="0"/>
          <w:numId w:val="4"/>
        </w:numPr>
        <w:rPr>
          <w:rFonts w:ascii="Century Gothic" w:hAnsi="Century Gothic"/>
          <w:b/>
          <w:bCs/>
          <w:noProof/>
          <w:sz w:val="24"/>
          <w:szCs w:val="24"/>
        </w:rPr>
      </w:pPr>
      <w:r w:rsidRPr="0083471E">
        <w:rPr>
          <w:rFonts w:ascii="Century Gothic" w:hAnsi="Century Gothic"/>
          <w:b/>
          <w:bCs/>
          <w:noProof/>
          <w:sz w:val="24"/>
          <w:szCs w:val="24"/>
        </w:rPr>
        <w:t>Cathy Ly</w:t>
      </w:r>
      <w:r w:rsidR="00907039" w:rsidRPr="0083471E">
        <w:rPr>
          <w:rFonts w:ascii="Century Gothic" w:hAnsi="Century Gothic"/>
          <w:b/>
          <w:bCs/>
          <w:noProof/>
          <w:sz w:val="24"/>
          <w:szCs w:val="24"/>
        </w:rPr>
        <w:t xml:space="preserve"> | Civil Rights Coordinator</w:t>
      </w:r>
      <w:r w:rsidR="00F955A2" w:rsidRPr="0083471E">
        <w:rPr>
          <w:rFonts w:ascii="Century Gothic" w:hAnsi="Century Gothic"/>
          <w:b/>
          <w:bCs/>
          <w:noProof/>
          <w:sz w:val="24"/>
          <w:szCs w:val="24"/>
        </w:rPr>
        <w:br/>
      </w:r>
      <w:hyperlink r:id="rId25" w:history="1">
        <w:r w:rsidR="00F955A2" w:rsidRPr="0083471E">
          <w:rPr>
            <w:rStyle w:val="Hyperlink"/>
            <w:rFonts w:ascii="Century Gothic" w:hAnsi="Century Gothic"/>
            <w:b/>
            <w:bCs/>
            <w:noProof/>
            <w:sz w:val="24"/>
            <w:szCs w:val="24"/>
          </w:rPr>
          <w:t>Cathy.Ly@dot.ca.gov</w:t>
        </w:r>
      </w:hyperlink>
    </w:p>
    <w:p w14:paraId="0489591C" w14:textId="497C2EA5" w:rsidR="00FB63CC" w:rsidRPr="0083471E" w:rsidRDefault="00F955A2" w:rsidP="00F955A2">
      <w:pPr>
        <w:pStyle w:val="ListParagraph"/>
        <w:rPr>
          <w:rFonts w:ascii="Century Gothic" w:hAnsi="Century Gothic"/>
          <w:b/>
          <w:bCs/>
          <w:noProof/>
          <w:sz w:val="24"/>
          <w:szCs w:val="24"/>
        </w:rPr>
      </w:pPr>
      <w:r w:rsidRPr="0083471E">
        <w:rPr>
          <w:rFonts w:ascii="Century Gothic" w:hAnsi="Century Gothic"/>
          <w:b/>
          <w:bCs/>
          <w:noProof/>
          <w:sz w:val="24"/>
          <w:szCs w:val="24"/>
        </w:rPr>
        <w:t>(279) 234-8191</w:t>
      </w:r>
    </w:p>
    <w:p w14:paraId="3C165445" w14:textId="350EAAEC" w:rsidR="00F955A2" w:rsidRPr="0083471E" w:rsidRDefault="009C0E42" w:rsidP="00F955A2">
      <w:pPr>
        <w:pStyle w:val="ListParagraph"/>
        <w:numPr>
          <w:ilvl w:val="0"/>
          <w:numId w:val="4"/>
        </w:numPr>
        <w:rPr>
          <w:rFonts w:ascii="Century Gothic" w:hAnsi="Century Gothic"/>
          <w:b/>
          <w:bCs/>
          <w:noProof/>
          <w:sz w:val="24"/>
          <w:szCs w:val="24"/>
        </w:rPr>
      </w:pPr>
      <w:r w:rsidRPr="0083471E">
        <w:rPr>
          <w:rFonts w:ascii="Century Gothic" w:hAnsi="Century Gothic"/>
          <w:b/>
          <w:bCs/>
          <w:noProof/>
          <w:sz w:val="24"/>
          <w:szCs w:val="24"/>
        </w:rPr>
        <w:t>Allyson Beem | Civil Rights Analyst</w:t>
      </w:r>
    </w:p>
    <w:p w14:paraId="1C0B3FFA" w14:textId="49EE9B03" w:rsidR="009C0E42" w:rsidRPr="0083471E" w:rsidRDefault="00B51527" w:rsidP="009C0E42">
      <w:pPr>
        <w:pStyle w:val="ListParagraph"/>
        <w:rPr>
          <w:rFonts w:ascii="Century Gothic" w:hAnsi="Century Gothic"/>
          <w:b/>
          <w:bCs/>
          <w:noProof/>
          <w:sz w:val="24"/>
          <w:szCs w:val="24"/>
        </w:rPr>
      </w:pPr>
      <w:hyperlink r:id="rId26" w:history="1">
        <w:r w:rsidR="009C0E42" w:rsidRPr="0083471E">
          <w:rPr>
            <w:rStyle w:val="Hyperlink"/>
            <w:rFonts w:ascii="Century Gothic" w:hAnsi="Century Gothic"/>
            <w:b/>
            <w:bCs/>
            <w:noProof/>
            <w:sz w:val="24"/>
            <w:szCs w:val="24"/>
          </w:rPr>
          <w:t>Allyson.Beem@dot.ca.gov</w:t>
        </w:r>
      </w:hyperlink>
    </w:p>
    <w:p w14:paraId="0EBFFFDF" w14:textId="30BB7314" w:rsidR="009C0E42" w:rsidRPr="0083471E" w:rsidRDefault="009C0E42" w:rsidP="009C0E42">
      <w:pPr>
        <w:pStyle w:val="ListParagraph"/>
        <w:rPr>
          <w:rFonts w:ascii="Century Gothic" w:hAnsi="Century Gothic"/>
          <w:b/>
          <w:bCs/>
          <w:noProof/>
          <w:sz w:val="24"/>
          <w:szCs w:val="24"/>
        </w:rPr>
      </w:pPr>
      <w:r w:rsidRPr="0083471E">
        <w:rPr>
          <w:rFonts w:ascii="Century Gothic" w:hAnsi="Century Gothic"/>
          <w:b/>
          <w:bCs/>
          <w:noProof/>
          <w:sz w:val="24"/>
          <w:szCs w:val="24"/>
        </w:rPr>
        <w:t>(279) 234</w:t>
      </w:r>
      <w:r w:rsidR="00E42B1B" w:rsidRPr="0083471E">
        <w:rPr>
          <w:rFonts w:ascii="Century Gothic" w:hAnsi="Century Gothic"/>
          <w:b/>
          <w:bCs/>
          <w:noProof/>
          <w:sz w:val="24"/>
          <w:szCs w:val="24"/>
        </w:rPr>
        <w:t>-4520</w:t>
      </w:r>
    </w:p>
    <w:p w14:paraId="58F1CED0" w14:textId="08F4B71B" w:rsidR="00E42B1B" w:rsidRPr="0083471E" w:rsidRDefault="00E42B1B" w:rsidP="00E42B1B">
      <w:pPr>
        <w:pStyle w:val="ListParagraph"/>
        <w:numPr>
          <w:ilvl w:val="0"/>
          <w:numId w:val="4"/>
        </w:numPr>
        <w:rPr>
          <w:rFonts w:ascii="Century Gothic" w:hAnsi="Century Gothic"/>
          <w:b/>
          <w:bCs/>
          <w:noProof/>
          <w:sz w:val="24"/>
          <w:szCs w:val="24"/>
        </w:rPr>
      </w:pPr>
      <w:r w:rsidRPr="0083471E">
        <w:rPr>
          <w:rFonts w:ascii="Century Gothic" w:hAnsi="Century Gothic"/>
          <w:b/>
          <w:bCs/>
          <w:noProof/>
          <w:sz w:val="24"/>
          <w:szCs w:val="24"/>
        </w:rPr>
        <w:t>Daniel Burke | Civil Rights Manager</w:t>
      </w:r>
    </w:p>
    <w:p w14:paraId="60A1D652" w14:textId="2DB3E20A" w:rsidR="00E42B1B" w:rsidRPr="0083471E" w:rsidRDefault="00B51527" w:rsidP="00E42B1B">
      <w:pPr>
        <w:pStyle w:val="ListParagraph"/>
        <w:rPr>
          <w:rFonts w:ascii="Century Gothic" w:hAnsi="Century Gothic"/>
          <w:b/>
          <w:bCs/>
          <w:noProof/>
          <w:sz w:val="24"/>
          <w:szCs w:val="24"/>
        </w:rPr>
      </w:pPr>
      <w:hyperlink r:id="rId27" w:history="1">
        <w:r w:rsidR="00E42B1B" w:rsidRPr="0083471E">
          <w:rPr>
            <w:rStyle w:val="Hyperlink"/>
            <w:rFonts w:ascii="Century Gothic" w:hAnsi="Century Gothic"/>
            <w:b/>
            <w:bCs/>
            <w:noProof/>
            <w:sz w:val="24"/>
            <w:szCs w:val="24"/>
          </w:rPr>
          <w:t>Daniel.Burke@dot.ca.gov</w:t>
        </w:r>
      </w:hyperlink>
    </w:p>
    <w:p w14:paraId="77DF5DA5" w14:textId="5452FD87" w:rsidR="00E42B1B" w:rsidRPr="0083471E" w:rsidRDefault="00E42B1B" w:rsidP="00E42B1B">
      <w:pPr>
        <w:pStyle w:val="ListParagraph"/>
        <w:rPr>
          <w:rFonts w:ascii="Century Gothic" w:hAnsi="Century Gothic"/>
          <w:b/>
          <w:bCs/>
          <w:noProof/>
          <w:sz w:val="24"/>
          <w:szCs w:val="24"/>
        </w:rPr>
      </w:pPr>
      <w:r w:rsidRPr="0083471E">
        <w:rPr>
          <w:rFonts w:ascii="Century Gothic" w:hAnsi="Century Gothic"/>
          <w:b/>
          <w:bCs/>
          <w:noProof/>
          <w:sz w:val="24"/>
          <w:szCs w:val="24"/>
        </w:rPr>
        <w:t>(916) 695-3372</w:t>
      </w:r>
    </w:p>
    <w:p w14:paraId="60D6469D" w14:textId="2377AFE1" w:rsidR="00E42B1B" w:rsidRPr="0083471E" w:rsidRDefault="00E42B1B" w:rsidP="00E42B1B">
      <w:pPr>
        <w:rPr>
          <w:rFonts w:ascii="Century Gothic" w:hAnsi="Century Gothic"/>
          <w:b/>
          <w:bCs/>
          <w:noProof/>
          <w:sz w:val="24"/>
          <w:szCs w:val="24"/>
        </w:rPr>
      </w:pPr>
      <w:r w:rsidRPr="0083471E">
        <w:rPr>
          <w:rFonts w:ascii="Century Gothic" w:hAnsi="Century Gothic"/>
          <w:b/>
          <w:bCs/>
          <w:noProof/>
          <w:sz w:val="24"/>
          <w:szCs w:val="24"/>
        </w:rPr>
        <w:t>Caltrans Office of Civil Rights Contacts:</w:t>
      </w:r>
    </w:p>
    <w:p w14:paraId="41A317EA" w14:textId="3F3CFEA3" w:rsidR="00E42B1B" w:rsidRPr="0083471E" w:rsidRDefault="008A368E" w:rsidP="008A368E">
      <w:pPr>
        <w:pStyle w:val="ListParagraph"/>
        <w:numPr>
          <w:ilvl w:val="0"/>
          <w:numId w:val="4"/>
        </w:numPr>
        <w:rPr>
          <w:rFonts w:ascii="Century Gothic" w:hAnsi="Century Gothic"/>
          <w:b/>
          <w:bCs/>
          <w:noProof/>
          <w:sz w:val="24"/>
          <w:szCs w:val="24"/>
        </w:rPr>
      </w:pPr>
      <w:r w:rsidRPr="0083471E">
        <w:rPr>
          <w:rFonts w:ascii="Century Gothic" w:hAnsi="Century Gothic"/>
          <w:b/>
          <w:bCs/>
          <w:noProof/>
          <w:sz w:val="24"/>
          <w:szCs w:val="24"/>
        </w:rPr>
        <w:t>Glenda Collins | Title VI Branch Manager</w:t>
      </w:r>
    </w:p>
    <w:p w14:paraId="2EA8328E" w14:textId="187EAB71" w:rsidR="008A368E" w:rsidRPr="0083471E" w:rsidRDefault="00B51527" w:rsidP="008A368E">
      <w:pPr>
        <w:pStyle w:val="ListParagraph"/>
        <w:rPr>
          <w:rFonts w:ascii="Century Gothic" w:hAnsi="Century Gothic"/>
          <w:b/>
          <w:bCs/>
          <w:noProof/>
          <w:sz w:val="24"/>
          <w:szCs w:val="24"/>
        </w:rPr>
      </w:pPr>
      <w:hyperlink r:id="rId28" w:history="1">
        <w:r w:rsidR="008A368E" w:rsidRPr="0083471E">
          <w:rPr>
            <w:rStyle w:val="Hyperlink"/>
            <w:rFonts w:ascii="Century Gothic" w:hAnsi="Century Gothic"/>
            <w:b/>
            <w:bCs/>
            <w:noProof/>
            <w:sz w:val="24"/>
            <w:szCs w:val="24"/>
          </w:rPr>
          <w:t>Glenda.Collins@dot.ca.gov</w:t>
        </w:r>
      </w:hyperlink>
      <w:r w:rsidR="008A368E" w:rsidRPr="0083471E">
        <w:rPr>
          <w:rFonts w:ascii="Century Gothic" w:hAnsi="Century Gothic"/>
          <w:b/>
          <w:bCs/>
          <w:noProof/>
          <w:sz w:val="24"/>
          <w:szCs w:val="24"/>
        </w:rPr>
        <w:t> </w:t>
      </w:r>
    </w:p>
    <w:p w14:paraId="2201856A" w14:textId="70F6B789" w:rsidR="008A368E" w:rsidRPr="0083471E" w:rsidRDefault="008A368E" w:rsidP="008A368E">
      <w:pPr>
        <w:pStyle w:val="ListParagraph"/>
        <w:rPr>
          <w:rFonts w:ascii="Century Gothic" w:hAnsi="Century Gothic"/>
          <w:b/>
          <w:bCs/>
          <w:noProof/>
          <w:sz w:val="24"/>
          <w:szCs w:val="24"/>
        </w:rPr>
      </w:pPr>
      <w:r w:rsidRPr="0083471E">
        <w:rPr>
          <w:rFonts w:ascii="Century Gothic" w:hAnsi="Century Gothic"/>
          <w:b/>
          <w:bCs/>
          <w:noProof/>
          <w:sz w:val="24"/>
          <w:szCs w:val="24"/>
        </w:rPr>
        <w:t>(916) 639-6392</w:t>
      </w:r>
    </w:p>
    <w:p w14:paraId="43EBEEE4" w14:textId="29862B0B" w:rsidR="008A368E" w:rsidRPr="0083471E" w:rsidRDefault="008A368E" w:rsidP="008A368E">
      <w:pPr>
        <w:pStyle w:val="ListParagraph"/>
        <w:numPr>
          <w:ilvl w:val="0"/>
          <w:numId w:val="4"/>
        </w:numPr>
        <w:rPr>
          <w:rFonts w:ascii="Century Gothic" w:hAnsi="Century Gothic"/>
          <w:b/>
          <w:bCs/>
          <w:noProof/>
          <w:sz w:val="24"/>
          <w:szCs w:val="24"/>
        </w:rPr>
      </w:pPr>
      <w:r w:rsidRPr="0083471E">
        <w:rPr>
          <w:rFonts w:ascii="Century Gothic" w:hAnsi="Century Gothic"/>
          <w:b/>
          <w:bCs/>
          <w:noProof/>
          <w:sz w:val="24"/>
          <w:szCs w:val="24"/>
        </w:rPr>
        <w:t>Loi Tran | Title VI</w:t>
      </w:r>
      <w:r w:rsidR="0061371A">
        <w:rPr>
          <w:rFonts w:ascii="Century Gothic" w:hAnsi="Century Gothic"/>
          <w:b/>
          <w:bCs/>
          <w:noProof/>
          <w:sz w:val="24"/>
          <w:szCs w:val="24"/>
        </w:rPr>
        <w:t>/</w:t>
      </w:r>
      <w:r w:rsidRPr="0083471E">
        <w:rPr>
          <w:rFonts w:ascii="Century Gothic" w:hAnsi="Century Gothic"/>
          <w:b/>
          <w:bCs/>
          <w:noProof/>
          <w:sz w:val="24"/>
          <w:szCs w:val="24"/>
        </w:rPr>
        <w:t>Compliance Specialist</w:t>
      </w:r>
    </w:p>
    <w:p w14:paraId="5BA9D529" w14:textId="285892BB" w:rsidR="00A103A1" w:rsidRPr="0083471E" w:rsidRDefault="00B51527" w:rsidP="00A103A1">
      <w:pPr>
        <w:pStyle w:val="ListParagraph"/>
        <w:rPr>
          <w:rFonts w:ascii="Century Gothic" w:hAnsi="Century Gothic"/>
          <w:b/>
          <w:bCs/>
          <w:noProof/>
          <w:sz w:val="24"/>
          <w:szCs w:val="24"/>
        </w:rPr>
      </w:pPr>
      <w:hyperlink r:id="rId29" w:history="1">
        <w:r w:rsidR="00A103A1" w:rsidRPr="0083471E">
          <w:rPr>
            <w:rStyle w:val="Hyperlink"/>
            <w:rFonts w:ascii="Century Gothic" w:hAnsi="Century Gothic"/>
            <w:b/>
            <w:bCs/>
            <w:noProof/>
            <w:sz w:val="24"/>
            <w:szCs w:val="24"/>
          </w:rPr>
          <w:t>Loi.Tran@dot.ca.gov</w:t>
        </w:r>
      </w:hyperlink>
      <w:r w:rsidR="00A103A1" w:rsidRPr="0083471E">
        <w:rPr>
          <w:rFonts w:ascii="Century Gothic" w:hAnsi="Century Gothic"/>
          <w:b/>
          <w:bCs/>
          <w:noProof/>
          <w:sz w:val="24"/>
          <w:szCs w:val="24"/>
        </w:rPr>
        <w:t> </w:t>
      </w:r>
    </w:p>
    <w:p w14:paraId="5EC58AFC" w14:textId="41CEE3E7" w:rsidR="00955512" w:rsidRPr="00955512" w:rsidRDefault="00A103A1" w:rsidP="0083471E">
      <w:pPr>
        <w:pStyle w:val="ListParagraph"/>
        <w:rPr>
          <w:rFonts w:ascii="Century Gothic" w:hAnsi="Century Gothic"/>
          <w:color w:val="0070C0"/>
          <w:sz w:val="32"/>
          <w:szCs w:val="32"/>
        </w:rPr>
      </w:pPr>
      <w:r w:rsidRPr="0083471E">
        <w:rPr>
          <w:rFonts w:ascii="Century Gothic" w:hAnsi="Century Gothic"/>
          <w:b/>
          <w:bCs/>
          <w:noProof/>
          <w:sz w:val="24"/>
          <w:szCs w:val="24"/>
        </w:rPr>
        <w:t>(916) 879-5528</w:t>
      </w:r>
    </w:p>
    <w:sectPr w:rsidR="00955512" w:rsidRPr="00955512" w:rsidSect="000F273D">
      <w:headerReference w:type="even" r:id="rId30"/>
      <w:headerReference w:type="default" r:id="rId31"/>
      <w:footerReference w:type="even" r:id="rId32"/>
      <w:footerReference w:type="default" r:id="rId33"/>
      <w:headerReference w:type="first" r:id="rId34"/>
      <w:footerReference w:type="first" r:id="rId3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7B66" w14:textId="77777777" w:rsidR="00B51527" w:rsidRDefault="00B51527" w:rsidP="004A2004">
      <w:pPr>
        <w:spacing w:after="0" w:line="240" w:lineRule="auto"/>
      </w:pPr>
      <w:r>
        <w:separator/>
      </w:r>
    </w:p>
  </w:endnote>
  <w:endnote w:type="continuationSeparator" w:id="0">
    <w:p w14:paraId="64BC44A0" w14:textId="77777777" w:rsidR="00B51527" w:rsidRDefault="00B51527" w:rsidP="004A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E562" w14:textId="77777777" w:rsidR="004A2004" w:rsidRDefault="004A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E3E8" w14:textId="77777777" w:rsidR="004A2004" w:rsidRDefault="004A2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27BF" w14:textId="77777777" w:rsidR="004A2004" w:rsidRDefault="004A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3C15" w14:textId="77777777" w:rsidR="00B51527" w:rsidRDefault="00B51527" w:rsidP="004A2004">
      <w:pPr>
        <w:spacing w:after="0" w:line="240" w:lineRule="auto"/>
      </w:pPr>
      <w:r>
        <w:separator/>
      </w:r>
    </w:p>
  </w:footnote>
  <w:footnote w:type="continuationSeparator" w:id="0">
    <w:p w14:paraId="2D675C90" w14:textId="77777777" w:rsidR="00B51527" w:rsidRDefault="00B51527" w:rsidP="004A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41BD" w14:textId="77777777" w:rsidR="004A2004" w:rsidRDefault="004A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D3A" w14:textId="47A33001" w:rsidR="004A2004" w:rsidRDefault="004A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136" w14:textId="77777777" w:rsidR="004A2004" w:rsidRDefault="004A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5A3"/>
    <w:multiLevelType w:val="multilevel"/>
    <w:tmpl w:val="0CFC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C2006"/>
    <w:multiLevelType w:val="multilevel"/>
    <w:tmpl w:val="6CA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70BDC"/>
    <w:multiLevelType w:val="hybridMultilevel"/>
    <w:tmpl w:val="2F7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93111"/>
    <w:multiLevelType w:val="hybridMultilevel"/>
    <w:tmpl w:val="0EF2D66A"/>
    <w:lvl w:ilvl="0" w:tplc="1F80C69E">
      <w:start w:val="1"/>
      <w:numFmt w:val="bullet"/>
      <w:lvlText w:val="•"/>
      <w:lvlJc w:val="left"/>
      <w:pPr>
        <w:tabs>
          <w:tab w:val="num" w:pos="990"/>
        </w:tabs>
        <w:ind w:left="990" w:hanging="360"/>
      </w:pPr>
      <w:rPr>
        <w:rFonts w:ascii="Arial" w:hAnsi="Arial" w:hint="default"/>
        <w:color w:val="auto"/>
      </w:rPr>
    </w:lvl>
    <w:lvl w:ilvl="1" w:tplc="4F84F5B2" w:tentative="1">
      <w:start w:val="1"/>
      <w:numFmt w:val="bullet"/>
      <w:lvlText w:val="•"/>
      <w:lvlJc w:val="left"/>
      <w:pPr>
        <w:tabs>
          <w:tab w:val="num" w:pos="1440"/>
        </w:tabs>
        <w:ind w:left="1440" w:hanging="360"/>
      </w:pPr>
      <w:rPr>
        <w:rFonts w:ascii="Arial" w:hAnsi="Arial" w:hint="default"/>
      </w:rPr>
    </w:lvl>
    <w:lvl w:ilvl="2" w:tplc="56A69C06" w:tentative="1">
      <w:start w:val="1"/>
      <w:numFmt w:val="bullet"/>
      <w:lvlText w:val="•"/>
      <w:lvlJc w:val="left"/>
      <w:pPr>
        <w:tabs>
          <w:tab w:val="num" w:pos="2160"/>
        </w:tabs>
        <w:ind w:left="2160" w:hanging="360"/>
      </w:pPr>
      <w:rPr>
        <w:rFonts w:ascii="Arial" w:hAnsi="Arial" w:hint="default"/>
      </w:rPr>
    </w:lvl>
    <w:lvl w:ilvl="3" w:tplc="3116A01C" w:tentative="1">
      <w:start w:val="1"/>
      <w:numFmt w:val="bullet"/>
      <w:lvlText w:val="•"/>
      <w:lvlJc w:val="left"/>
      <w:pPr>
        <w:tabs>
          <w:tab w:val="num" w:pos="2880"/>
        </w:tabs>
        <w:ind w:left="2880" w:hanging="360"/>
      </w:pPr>
      <w:rPr>
        <w:rFonts w:ascii="Arial" w:hAnsi="Arial" w:hint="default"/>
      </w:rPr>
    </w:lvl>
    <w:lvl w:ilvl="4" w:tplc="E36A152E" w:tentative="1">
      <w:start w:val="1"/>
      <w:numFmt w:val="bullet"/>
      <w:lvlText w:val="•"/>
      <w:lvlJc w:val="left"/>
      <w:pPr>
        <w:tabs>
          <w:tab w:val="num" w:pos="3600"/>
        </w:tabs>
        <w:ind w:left="3600" w:hanging="360"/>
      </w:pPr>
      <w:rPr>
        <w:rFonts w:ascii="Arial" w:hAnsi="Arial" w:hint="default"/>
      </w:rPr>
    </w:lvl>
    <w:lvl w:ilvl="5" w:tplc="E3D401A6" w:tentative="1">
      <w:start w:val="1"/>
      <w:numFmt w:val="bullet"/>
      <w:lvlText w:val="•"/>
      <w:lvlJc w:val="left"/>
      <w:pPr>
        <w:tabs>
          <w:tab w:val="num" w:pos="4320"/>
        </w:tabs>
        <w:ind w:left="4320" w:hanging="360"/>
      </w:pPr>
      <w:rPr>
        <w:rFonts w:ascii="Arial" w:hAnsi="Arial" w:hint="default"/>
      </w:rPr>
    </w:lvl>
    <w:lvl w:ilvl="6" w:tplc="B38A295A" w:tentative="1">
      <w:start w:val="1"/>
      <w:numFmt w:val="bullet"/>
      <w:lvlText w:val="•"/>
      <w:lvlJc w:val="left"/>
      <w:pPr>
        <w:tabs>
          <w:tab w:val="num" w:pos="5040"/>
        </w:tabs>
        <w:ind w:left="5040" w:hanging="360"/>
      </w:pPr>
      <w:rPr>
        <w:rFonts w:ascii="Arial" w:hAnsi="Arial" w:hint="default"/>
      </w:rPr>
    </w:lvl>
    <w:lvl w:ilvl="7" w:tplc="E608745A" w:tentative="1">
      <w:start w:val="1"/>
      <w:numFmt w:val="bullet"/>
      <w:lvlText w:val="•"/>
      <w:lvlJc w:val="left"/>
      <w:pPr>
        <w:tabs>
          <w:tab w:val="num" w:pos="5760"/>
        </w:tabs>
        <w:ind w:left="5760" w:hanging="360"/>
      </w:pPr>
      <w:rPr>
        <w:rFonts w:ascii="Arial" w:hAnsi="Arial" w:hint="default"/>
      </w:rPr>
    </w:lvl>
    <w:lvl w:ilvl="8" w:tplc="144040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97F4A"/>
    <w:multiLevelType w:val="hybridMultilevel"/>
    <w:tmpl w:val="9A6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22E4"/>
    <w:multiLevelType w:val="multilevel"/>
    <w:tmpl w:val="9D3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1774C"/>
    <w:multiLevelType w:val="multilevel"/>
    <w:tmpl w:val="EA60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E53C1"/>
    <w:multiLevelType w:val="multilevel"/>
    <w:tmpl w:val="CD8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3799A"/>
    <w:multiLevelType w:val="multilevel"/>
    <w:tmpl w:val="CA5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F7A69"/>
    <w:multiLevelType w:val="hybridMultilevel"/>
    <w:tmpl w:val="D144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12"/>
    <w:rsid w:val="00014351"/>
    <w:rsid w:val="00040BFF"/>
    <w:rsid w:val="00087490"/>
    <w:rsid w:val="000B24EC"/>
    <w:rsid w:val="000F273D"/>
    <w:rsid w:val="00121E10"/>
    <w:rsid w:val="00131BA0"/>
    <w:rsid w:val="00156E64"/>
    <w:rsid w:val="00226CB6"/>
    <w:rsid w:val="0023506A"/>
    <w:rsid w:val="00271160"/>
    <w:rsid w:val="00277C8E"/>
    <w:rsid w:val="002803BF"/>
    <w:rsid w:val="002925E8"/>
    <w:rsid w:val="002E4087"/>
    <w:rsid w:val="003250B5"/>
    <w:rsid w:val="00330010"/>
    <w:rsid w:val="00380F1F"/>
    <w:rsid w:val="003F16EB"/>
    <w:rsid w:val="003F5790"/>
    <w:rsid w:val="004473B0"/>
    <w:rsid w:val="004519BA"/>
    <w:rsid w:val="00475D1B"/>
    <w:rsid w:val="004834E8"/>
    <w:rsid w:val="004A2004"/>
    <w:rsid w:val="004B5BF7"/>
    <w:rsid w:val="004C59DF"/>
    <w:rsid w:val="004D086C"/>
    <w:rsid w:val="004E4077"/>
    <w:rsid w:val="004E543B"/>
    <w:rsid w:val="00521775"/>
    <w:rsid w:val="00531AB6"/>
    <w:rsid w:val="005D0184"/>
    <w:rsid w:val="0061371A"/>
    <w:rsid w:val="00622D82"/>
    <w:rsid w:val="00626932"/>
    <w:rsid w:val="00630E7D"/>
    <w:rsid w:val="00632772"/>
    <w:rsid w:val="00650D07"/>
    <w:rsid w:val="00676B89"/>
    <w:rsid w:val="006874AA"/>
    <w:rsid w:val="00695C5A"/>
    <w:rsid w:val="00720B57"/>
    <w:rsid w:val="00730E22"/>
    <w:rsid w:val="00751B80"/>
    <w:rsid w:val="0077347B"/>
    <w:rsid w:val="00796D2F"/>
    <w:rsid w:val="007A19A3"/>
    <w:rsid w:val="007A7F8C"/>
    <w:rsid w:val="007C049C"/>
    <w:rsid w:val="007C3818"/>
    <w:rsid w:val="007F7B0A"/>
    <w:rsid w:val="00816BC0"/>
    <w:rsid w:val="00823747"/>
    <w:rsid w:val="0083471E"/>
    <w:rsid w:val="008374A8"/>
    <w:rsid w:val="008443E8"/>
    <w:rsid w:val="00875D55"/>
    <w:rsid w:val="008A33BE"/>
    <w:rsid w:val="008A368E"/>
    <w:rsid w:val="008A4F81"/>
    <w:rsid w:val="008C2132"/>
    <w:rsid w:val="008D7FC5"/>
    <w:rsid w:val="009029B2"/>
    <w:rsid w:val="00907039"/>
    <w:rsid w:val="0092435E"/>
    <w:rsid w:val="009427AA"/>
    <w:rsid w:val="00955512"/>
    <w:rsid w:val="00957CED"/>
    <w:rsid w:val="00966618"/>
    <w:rsid w:val="00972C4B"/>
    <w:rsid w:val="00975C55"/>
    <w:rsid w:val="009C0E42"/>
    <w:rsid w:val="009E4819"/>
    <w:rsid w:val="00A103A1"/>
    <w:rsid w:val="00A13542"/>
    <w:rsid w:val="00AA5EDA"/>
    <w:rsid w:val="00AE54E7"/>
    <w:rsid w:val="00B02EAA"/>
    <w:rsid w:val="00B33955"/>
    <w:rsid w:val="00B46DD9"/>
    <w:rsid w:val="00B51527"/>
    <w:rsid w:val="00BB0C58"/>
    <w:rsid w:val="00BB56A2"/>
    <w:rsid w:val="00C14101"/>
    <w:rsid w:val="00C25183"/>
    <w:rsid w:val="00CE5304"/>
    <w:rsid w:val="00D114BB"/>
    <w:rsid w:val="00D136A5"/>
    <w:rsid w:val="00D14673"/>
    <w:rsid w:val="00D327E3"/>
    <w:rsid w:val="00D34F79"/>
    <w:rsid w:val="00D4460B"/>
    <w:rsid w:val="00D77C27"/>
    <w:rsid w:val="00DA0B80"/>
    <w:rsid w:val="00DE179E"/>
    <w:rsid w:val="00E276F5"/>
    <w:rsid w:val="00E31414"/>
    <w:rsid w:val="00E31D50"/>
    <w:rsid w:val="00E42B1B"/>
    <w:rsid w:val="00EB41A3"/>
    <w:rsid w:val="00EC443D"/>
    <w:rsid w:val="00ED0574"/>
    <w:rsid w:val="00EE494B"/>
    <w:rsid w:val="00EF00D6"/>
    <w:rsid w:val="00F22A13"/>
    <w:rsid w:val="00F276B2"/>
    <w:rsid w:val="00F5159F"/>
    <w:rsid w:val="00F70C89"/>
    <w:rsid w:val="00F878E2"/>
    <w:rsid w:val="00F92985"/>
    <w:rsid w:val="00F955A2"/>
    <w:rsid w:val="00F95828"/>
    <w:rsid w:val="00FA7DCA"/>
    <w:rsid w:val="00FB63CC"/>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AEC3"/>
  <w15:chartTrackingRefBased/>
  <w15:docId w15:val="{14064EF7-471F-4C1D-AC9A-8752463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AA"/>
    <w:rPr>
      <w:color w:val="0563C1" w:themeColor="hyperlink"/>
      <w:u w:val="single"/>
    </w:rPr>
  </w:style>
  <w:style w:type="character" w:styleId="UnresolvedMention">
    <w:name w:val="Unresolved Mention"/>
    <w:basedOn w:val="DefaultParagraphFont"/>
    <w:uiPriority w:val="99"/>
    <w:semiHidden/>
    <w:unhideWhenUsed/>
    <w:rsid w:val="009427AA"/>
    <w:rPr>
      <w:color w:val="605E5C"/>
      <w:shd w:val="clear" w:color="auto" w:fill="E1DFDD"/>
    </w:rPr>
  </w:style>
  <w:style w:type="character" w:styleId="FollowedHyperlink">
    <w:name w:val="FollowedHyperlink"/>
    <w:basedOn w:val="DefaultParagraphFont"/>
    <w:uiPriority w:val="99"/>
    <w:semiHidden/>
    <w:unhideWhenUsed/>
    <w:rsid w:val="00475D1B"/>
    <w:rPr>
      <w:color w:val="954F72" w:themeColor="followedHyperlink"/>
      <w:u w:val="single"/>
    </w:rPr>
  </w:style>
  <w:style w:type="paragraph" w:styleId="ListParagraph">
    <w:name w:val="List Paragraph"/>
    <w:basedOn w:val="Normal"/>
    <w:uiPriority w:val="34"/>
    <w:qFormat/>
    <w:rsid w:val="00650D07"/>
    <w:pPr>
      <w:ind w:left="720"/>
      <w:contextualSpacing/>
    </w:pPr>
  </w:style>
  <w:style w:type="paragraph" w:styleId="NormalWeb">
    <w:name w:val="Normal (Web)"/>
    <w:basedOn w:val="Normal"/>
    <w:uiPriority w:val="99"/>
    <w:semiHidden/>
    <w:unhideWhenUsed/>
    <w:rsid w:val="00FB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27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04"/>
  </w:style>
  <w:style w:type="paragraph" w:styleId="Footer">
    <w:name w:val="footer"/>
    <w:basedOn w:val="Normal"/>
    <w:link w:val="FooterChar"/>
    <w:uiPriority w:val="99"/>
    <w:unhideWhenUsed/>
    <w:rsid w:val="004A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04"/>
  </w:style>
  <w:style w:type="character" w:styleId="Strong">
    <w:name w:val="Strong"/>
    <w:basedOn w:val="DefaultParagraphFont"/>
    <w:uiPriority w:val="22"/>
    <w:qFormat/>
    <w:rsid w:val="0083471E"/>
    <w:rPr>
      <w:b/>
      <w:bCs/>
    </w:rPr>
  </w:style>
  <w:style w:type="character" w:styleId="CommentReference">
    <w:name w:val="annotation reference"/>
    <w:basedOn w:val="DefaultParagraphFont"/>
    <w:uiPriority w:val="99"/>
    <w:semiHidden/>
    <w:unhideWhenUsed/>
    <w:rsid w:val="004E4077"/>
    <w:rPr>
      <w:sz w:val="16"/>
      <w:szCs w:val="16"/>
    </w:rPr>
  </w:style>
  <w:style w:type="paragraph" w:styleId="CommentText">
    <w:name w:val="annotation text"/>
    <w:basedOn w:val="Normal"/>
    <w:link w:val="CommentTextChar"/>
    <w:uiPriority w:val="99"/>
    <w:unhideWhenUsed/>
    <w:rsid w:val="004E4077"/>
    <w:pPr>
      <w:spacing w:line="240" w:lineRule="auto"/>
    </w:pPr>
    <w:rPr>
      <w:sz w:val="20"/>
      <w:szCs w:val="20"/>
    </w:rPr>
  </w:style>
  <w:style w:type="character" w:customStyle="1" w:styleId="CommentTextChar">
    <w:name w:val="Comment Text Char"/>
    <w:basedOn w:val="DefaultParagraphFont"/>
    <w:link w:val="CommentText"/>
    <w:uiPriority w:val="99"/>
    <w:rsid w:val="004E4077"/>
    <w:rPr>
      <w:sz w:val="20"/>
      <w:szCs w:val="20"/>
    </w:rPr>
  </w:style>
  <w:style w:type="paragraph" w:styleId="CommentSubject">
    <w:name w:val="annotation subject"/>
    <w:basedOn w:val="CommentText"/>
    <w:next w:val="CommentText"/>
    <w:link w:val="CommentSubjectChar"/>
    <w:uiPriority w:val="99"/>
    <w:semiHidden/>
    <w:unhideWhenUsed/>
    <w:rsid w:val="004E4077"/>
    <w:rPr>
      <w:b/>
      <w:bCs/>
    </w:rPr>
  </w:style>
  <w:style w:type="character" w:customStyle="1" w:styleId="CommentSubjectChar">
    <w:name w:val="Comment Subject Char"/>
    <w:basedOn w:val="CommentTextChar"/>
    <w:link w:val="CommentSubject"/>
    <w:uiPriority w:val="99"/>
    <w:semiHidden/>
    <w:rsid w:val="004E4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9539">
      <w:bodyDiv w:val="1"/>
      <w:marLeft w:val="0"/>
      <w:marRight w:val="0"/>
      <w:marTop w:val="0"/>
      <w:marBottom w:val="0"/>
      <w:divBdr>
        <w:top w:val="none" w:sz="0" w:space="0" w:color="auto"/>
        <w:left w:val="none" w:sz="0" w:space="0" w:color="auto"/>
        <w:bottom w:val="none" w:sz="0" w:space="0" w:color="auto"/>
        <w:right w:val="none" w:sz="0" w:space="0" w:color="auto"/>
      </w:divBdr>
    </w:div>
    <w:div w:id="599485882">
      <w:bodyDiv w:val="1"/>
      <w:marLeft w:val="0"/>
      <w:marRight w:val="0"/>
      <w:marTop w:val="0"/>
      <w:marBottom w:val="0"/>
      <w:divBdr>
        <w:top w:val="none" w:sz="0" w:space="0" w:color="auto"/>
        <w:left w:val="none" w:sz="0" w:space="0" w:color="auto"/>
        <w:bottom w:val="none" w:sz="0" w:space="0" w:color="auto"/>
        <w:right w:val="none" w:sz="0" w:space="0" w:color="auto"/>
      </w:divBdr>
    </w:div>
    <w:div w:id="732242268">
      <w:bodyDiv w:val="1"/>
      <w:marLeft w:val="0"/>
      <w:marRight w:val="0"/>
      <w:marTop w:val="0"/>
      <w:marBottom w:val="0"/>
      <w:divBdr>
        <w:top w:val="none" w:sz="0" w:space="0" w:color="auto"/>
        <w:left w:val="none" w:sz="0" w:space="0" w:color="auto"/>
        <w:bottom w:val="none" w:sz="0" w:space="0" w:color="auto"/>
        <w:right w:val="none" w:sz="0" w:space="0" w:color="auto"/>
      </w:divBdr>
    </w:div>
    <w:div w:id="856503323">
      <w:bodyDiv w:val="1"/>
      <w:marLeft w:val="0"/>
      <w:marRight w:val="0"/>
      <w:marTop w:val="0"/>
      <w:marBottom w:val="0"/>
      <w:divBdr>
        <w:top w:val="none" w:sz="0" w:space="0" w:color="auto"/>
        <w:left w:val="none" w:sz="0" w:space="0" w:color="auto"/>
        <w:bottom w:val="none" w:sz="0" w:space="0" w:color="auto"/>
        <w:right w:val="none" w:sz="0" w:space="0" w:color="auto"/>
      </w:divBdr>
    </w:div>
    <w:div w:id="963658140">
      <w:bodyDiv w:val="1"/>
      <w:marLeft w:val="0"/>
      <w:marRight w:val="0"/>
      <w:marTop w:val="0"/>
      <w:marBottom w:val="0"/>
      <w:divBdr>
        <w:top w:val="none" w:sz="0" w:space="0" w:color="auto"/>
        <w:left w:val="none" w:sz="0" w:space="0" w:color="auto"/>
        <w:bottom w:val="none" w:sz="0" w:space="0" w:color="auto"/>
        <w:right w:val="none" w:sz="0" w:space="0" w:color="auto"/>
      </w:divBdr>
    </w:div>
    <w:div w:id="1119446057">
      <w:bodyDiv w:val="1"/>
      <w:marLeft w:val="0"/>
      <w:marRight w:val="0"/>
      <w:marTop w:val="0"/>
      <w:marBottom w:val="0"/>
      <w:divBdr>
        <w:top w:val="none" w:sz="0" w:space="0" w:color="auto"/>
        <w:left w:val="none" w:sz="0" w:space="0" w:color="auto"/>
        <w:bottom w:val="none" w:sz="0" w:space="0" w:color="auto"/>
        <w:right w:val="none" w:sz="0" w:space="0" w:color="auto"/>
      </w:divBdr>
    </w:div>
    <w:div w:id="1169177963">
      <w:bodyDiv w:val="1"/>
      <w:marLeft w:val="0"/>
      <w:marRight w:val="0"/>
      <w:marTop w:val="0"/>
      <w:marBottom w:val="0"/>
      <w:divBdr>
        <w:top w:val="none" w:sz="0" w:space="0" w:color="auto"/>
        <w:left w:val="none" w:sz="0" w:space="0" w:color="auto"/>
        <w:bottom w:val="none" w:sz="0" w:space="0" w:color="auto"/>
        <w:right w:val="none" w:sz="0" w:space="0" w:color="auto"/>
      </w:divBdr>
      <w:divsChild>
        <w:div w:id="1750888831">
          <w:marLeft w:val="274"/>
          <w:marRight w:val="0"/>
          <w:marTop w:val="150"/>
          <w:marBottom w:val="0"/>
          <w:divBdr>
            <w:top w:val="none" w:sz="0" w:space="0" w:color="auto"/>
            <w:left w:val="none" w:sz="0" w:space="0" w:color="auto"/>
            <w:bottom w:val="none" w:sz="0" w:space="0" w:color="auto"/>
            <w:right w:val="none" w:sz="0" w:space="0" w:color="auto"/>
          </w:divBdr>
        </w:div>
        <w:div w:id="788865380">
          <w:marLeft w:val="274"/>
          <w:marRight w:val="0"/>
          <w:marTop w:val="150"/>
          <w:marBottom w:val="0"/>
          <w:divBdr>
            <w:top w:val="none" w:sz="0" w:space="0" w:color="auto"/>
            <w:left w:val="none" w:sz="0" w:space="0" w:color="auto"/>
            <w:bottom w:val="none" w:sz="0" w:space="0" w:color="auto"/>
            <w:right w:val="none" w:sz="0" w:space="0" w:color="auto"/>
          </w:divBdr>
        </w:div>
        <w:div w:id="102698772">
          <w:marLeft w:val="274"/>
          <w:marRight w:val="0"/>
          <w:marTop w:val="150"/>
          <w:marBottom w:val="0"/>
          <w:divBdr>
            <w:top w:val="none" w:sz="0" w:space="0" w:color="auto"/>
            <w:left w:val="none" w:sz="0" w:space="0" w:color="auto"/>
            <w:bottom w:val="none" w:sz="0" w:space="0" w:color="auto"/>
            <w:right w:val="none" w:sz="0" w:space="0" w:color="auto"/>
          </w:divBdr>
        </w:div>
        <w:div w:id="888345153">
          <w:marLeft w:val="274"/>
          <w:marRight w:val="0"/>
          <w:marTop w:val="150"/>
          <w:marBottom w:val="0"/>
          <w:divBdr>
            <w:top w:val="none" w:sz="0" w:space="0" w:color="auto"/>
            <w:left w:val="none" w:sz="0" w:space="0" w:color="auto"/>
            <w:bottom w:val="none" w:sz="0" w:space="0" w:color="auto"/>
            <w:right w:val="none" w:sz="0" w:space="0" w:color="auto"/>
          </w:divBdr>
        </w:div>
      </w:divsChild>
    </w:div>
    <w:div w:id="1373461755">
      <w:bodyDiv w:val="1"/>
      <w:marLeft w:val="0"/>
      <w:marRight w:val="0"/>
      <w:marTop w:val="0"/>
      <w:marBottom w:val="0"/>
      <w:divBdr>
        <w:top w:val="none" w:sz="0" w:space="0" w:color="auto"/>
        <w:left w:val="none" w:sz="0" w:space="0" w:color="auto"/>
        <w:bottom w:val="none" w:sz="0" w:space="0" w:color="auto"/>
        <w:right w:val="none" w:sz="0" w:space="0" w:color="auto"/>
      </w:divBdr>
    </w:div>
    <w:div w:id="1791127035">
      <w:bodyDiv w:val="1"/>
      <w:marLeft w:val="0"/>
      <w:marRight w:val="0"/>
      <w:marTop w:val="0"/>
      <w:marBottom w:val="0"/>
      <w:divBdr>
        <w:top w:val="none" w:sz="0" w:space="0" w:color="auto"/>
        <w:left w:val="none" w:sz="0" w:space="0" w:color="auto"/>
        <w:bottom w:val="none" w:sz="0" w:space="0" w:color="auto"/>
        <w:right w:val="none" w:sz="0" w:space="0" w:color="auto"/>
      </w:divBdr>
    </w:div>
    <w:div w:id="20014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census.gov/cedsci/table?q=C16001%3A%20LANGUAGE%20SPOKEN%20AT%20HOME%20FOR%20THE%20POPULATION%205%20YEARS%20AND%20OVER&amp;tid=ACSDT5Y2020.C16001" TargetMode="External"/><Relationship Id="rId18" Type="http://schemas.openxmlformats.org/officeDocument/2006/relationships/hyperlink" Target="https://www.civilrights.dot.gov/civil-rights-awareness-enforcement/language-assistance/dots-lep-guidance" TargetMode="External"/><Relationship Id="rId26" Type="http://schemas.openxmlformats.org/officeDocument/2006/relationships/hyperlink" Target="mailto:Allyson.Beem@dot.ca.gov" TargetMode="External"/><Relationship Id="rId21" Type="http://schemas.openxmlformats.org/officeDocument/2006/relationships/hyperlink" Target="https://dot.ca.gov/-/media/dot-media/programs/civil-rights/documents/f0005920-highwayhelp-final-a11y.pdf"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data.census.gov/cedsci/table?q=C16001%3A%20LANGUAGE%20SPOKEN%20AT%20HOME%20FOR%20THE%20POPULATION%205%20YEARS%20AND%20OVER&amp;tid=ACSDT5Y2020.C16001" TargetMode="External"/><Relationship Id="rId17" Type="http://schemas.openxmlformats.org/officeDocument/2006/relationships/hyperlink" Target="https://dot.ca.gov/-/media/dot-media/programs/local-assistance/documents/title-vi/sacog-s-title-vi-lep-plan-2018-a11p.pdf" TargetMode="External"/><Relationship Id="rId25" Type="http://schemas.openxmlformats.org/officeDocument/2006/relationships/hyperlink" Target="mailto:Cathy.Ly@dot.ca.go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t.ca.gov/-/media/dot-media/programs/local-assistance/documents/ayy1/caltrans-language-access-plan-2020-a11p.pdf" TargetMode="External"/><Relationship Id="rId20" Type="http://schemas.openxmlformats.org/officeDocument/2006/relationships/hyperlink" Target="https://dot.ca.gov/-/media/dot-media/programs/civil-rights/documents/ispeakcards-2010-a11y.pdf" TargetMode="External"/><Relationship Id="rId29" Type="http://schemas.openxmlformats.org/officeDocument/2006/relationships/hyperlink" Target="mailto:Loi.Tran@dot.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ensus.gov/cedsci/table?q=C16001%3A%20LANGUAGE%20SPOKEN%20AT%20HOME%20FOR%20THE%20POPULATION%205%20YEARS%20AND%20OVER&amp;tid=ACSDT5Y2020.C16001" TargetMode="External"/><Relationship Id="rId24" Type="http://schemas.openxmlformats.org/officeDocument/2006/relationships/hyperlink" Target="https://www.lep.gov/language-access-plannin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ta.census.gov/cedsci/table?q=C16001%3A%20LANGUAGE%20SPOKEN%20AT%20HOME%20FOR%20THE%20POPULATION%205%20YEARS%20AND%20OVER&amp;tid=ACSDT5Y2020.C16001" TargetMode="External"/><Relationship Id="rId23" Type="http://schemas.openxmlformats.org/officeDocument/2006/relationships/hyperlink" Target="https://www.calhr.ca.gov/state-hr-professionals/Pages/Bilingual-Services.aspx" TargetMode="External"/><Relationship Id="rId28" Type="http://schemas.openxmlformats.org/officeDocument/2006/relationships/hyperlink" Target="mailto:Glenda.Collins@dot.ca.gov" TargetMode="External"/><Relationship Id="rId36" Type="http://schemas.openxmlformats.org/officeDocument/2006/relationships/fontTable" Target="fontTable.xml"/><Relationship Id="rId10" Type="http://schemas.openxmlformats.org/officeDocument/2006/relationships/hyperlink" Target="mailto:census.data@census.gov" TargetMode="External"/><Relationship Id="rId19" Type="http://schemas.openxmlformats.org/officeDocument/2006/relationships/hyperlink" Target="http://www.justice.gov/sites/default/files/crt/legacy/2010/12/14/DOJFinLEPFRJun182002.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ata.census.gov/cedsci/table?q=C16001%3A%20LANGUAGE%20SPOKEN%20AT%20HOME%20FOR%20THE%20POPULATION%205%20YEARS%20AND%20OVER&amp;tid=ACSDT5Y2020.C16001" TargetMode="External"/><Relationship Id="rId22" Type="http://schemas.openxmlformats.org/officeDocument/2006/relationships/hyperlink" Target="http://www.justice.gov/crt/about/cor/pubs.php" TargetMode="External"/><Relationship Id="rId27" Type="http://schemas.openxmlformats.org/officeDocument/2006/relationships/hyperlink" Target="mailto:Daniel.Burke@dot.ca.gov"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gpo.gov/fdsys/pkg/FR-2005-12-14/html/05-23972.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 Allyson@DOT</dc:creator>
  <cp:keywords/>
  <dc:description/>
  <cp:lastModifiedBy>Stuelpnagel, Martin@DOT</cp:lastModifiedBy>
  <cp:revision>3</cp:revision>
  <dcterms:created xsi:type="dcterms:W3CDTF">2022-08-30T20:13:00Z</dcterms:created>
  <dcterms:modified xsi:type="dcterms:W3CDTF">2022-08-31T18:23:00Z</dcterms:modified>
</cp:coreProperties>
</file>